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Las Condes</w:t>
      </w:r>
    </w:p>
    <w:p>
      <w:pPr>
        <w:jc w:val="center"/>
      </w:pPr>
      <w:r>
        <w:t>MONITOREO WES</w:t>
        <w:br/>
        <w:t>Análisis consolidado de 1 puntos de monitoreo</w:t>
        <w:br/>
        <w:t>Rango: 01-04-26 - 12-04-26</w:t>
        <w:br/>
        <w:t>Generado: 15-05-26 15:06</w:t>
      </w:r>
    </w:p>
    <w:p>
      <w:pPr>
        <w:pStyle w:val="Heading1"/>
        <w:keepNext/>
        <w:widowControl/>
        <w:spacing w:after="60"/>
      </w:pPr>
      <w:r>
        <w:rPr>
          <w:b/>
          <w:color w:val="003366"/>
        </w:rPr>
        <w:t>RESUMEN EJECUTIVO AGREGADO</w:t>
      </w:r>
    </w:p>
    <w:p>
      <w:r>
        <w:t>Puntos de monitoreo analizados: 1.</w:t>
        <w:br/>
      </w:r>
      <w:r>
        <w:t>Consumo total agregado: 223,7 m³.</w:t>
        <w:br/>
      </w:r>
      <w:r>
        <w:t>Consumo promedio por punto: 223,7 m³.</w:t>
        <w:br/>
      </w:r>
      <w:r>
        <w:t>Total de alertas registradas: 8.</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22"/>
        <w:gridCol w:w="882"/>
        <w:gridCol w:w="1221"/>
        <w:gridCol w:w="1086"/>
        <w:gridCol w:w="1560"/>
        <w:gridCol w:w="162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Juan Pablo II</w:t>
            </w:r>
          </w:p>
        </w:tc>
        <w:tc>
          <w:tcPr>
            <w:tcW w:type="dxa" w:w="1440"/>
            <w:noWrap/>
          </w:tcPr>
          <w:p>
            <w:r>
              <w:t>223,7</w:t>
            </w:r>
          </w:p>
        </w:tc>
        <w:tc>
          <w:tcPr>
            <w:tcW w:type="dxa" w:w="1440"/>
            <w:noWrap/>
          </w:tcPr>
          <w:p>
            <w:r>
              <w:t>8</w:t>
            </w:r>
          </w:p>
        </w:tc>
        <w:tc>
          <w:tcPr>
            <w:tcW w:type="dxa" w:w="1440"/>
            <w:noWrap/>
          </w:tcPr>
          <w:p>
            <w:pPr>
              <w:jc w:val="left"/>
            </w:pPr>
            <w:r>
              <w:t>63,2 m³</w:t>
            </w:r>
          </w:p>
          <w:p>
            <w:pPr>
              <w:jc w:val="left"/>
            </w:pPr>
            <w:r>
              <w:t>(11 días, 100%)</w:t>
            </w:r>
          </w:p>
        </w:tc>
        <w:tc>
          <w:tcPr>
            <w:tcW w:type="dxa" w:w="1440"/>
            <w:noWrap/>
          </w:tcPr>
          <w:p>
            <w:pPr>
              <w:jc w:val="left"/>
            </w:pPr>
            <w:r>
              <w:t>216,7 m³</w:t>
            </w:r>
          </w:p>
          <w:p>
            <w:pPr>
              <w:jc w:val="left"/>
            </w:pPr>
            <w:r>
              <w:t>(96,9%)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223,7</w:t>
            </w:r>
          </w:p>
        </w:tc>
        <w:tc>
          <w:tcPr>
            <w:tcW w:type="dxa" w:w="1440"/>
            <w:noWrap/>
            <w:shd w:val="clear" w:fill="FFE6E6"/>
          </w:tcPr>
          <w:p>
            <w:pPr>
              <w:jc w:val="left"/>
            </w:pPr>
            <w:r>
              <w:rPr>
                <w:b/>
                <w:color w:val="FF0000"/>
              </w:rPr>
              <w:t>8</w:t>
            </w:r>
          </w:p>
        </w:tc>
        <w:tc>
          <w:tcPr>
            <w:tcW w:type="dxa" w:w="1440"/>
            <w:noWrap/>
            <w:shd w:val="clear" w:fill="FFE6E6"/>
          </w:tcPr>
          <w:p>
            <w:pPr>
              <w:jc w:val="left"/>
            </w:pPr>
            <w:r>
              <w:rPr>
                <w:b/>
                <w:color w:val="FF0000"/>
              </w:rPr>
              <w:t>63,2 m³</w:t>
            </w:r>
          </w:p>
        </w:tc>
        <w:tc>
          <w:tcPr>
            <w:tcW w:type="dxa" w:w="1440"/>
            <w:noWrap/>
            <w:shd w:val="clear" w:fill="FFE6E6"/>
          </w:tcPr>
          <w:p>
            <w:pPr>
              <w:jc w:val="left"/>
            </w:pPr>
            <w:r>
              <w:rPr>
                <w:b/>
                <w:color w:val="FF0000"/>
              </w:rPr>
              <w:t>216,7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JUAN PABLO II (11-04-26):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2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Juan Pablo II registró 8 alerta(s) durante 6 día(s) del periodo analizado. La periodicidad de las alertas es regular (más del 50% de los días). Se identificó una proyección de filtración de 216,7 m³ ($275.240),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Juan Pablo II, con un volumen proyectado de 216,7 m³ (96,9%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