
<file path=[Content_Types].xml><?xml version="1.0" encoding="utf-8"?>
<Types xmlns="http://schemas.openxmlformats.org/package/2006/content-types">
  <Default Extension="bmp" ContentType="image/bmp"/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sz w:val="48"/>
        </w:rPr>
        <w:t>Análisis Las Condes Alexander Fleming</w:t>
      </w:r>
    </w:p>
    <w:p>
      <w:pPr>
        <w:jc w:val="center"/>
      </w:pPr>
      <w:r>
        <w:t>MONITOREO WES</w:t>
        <w:br/>
        <w:t>Alexander Fleming</w:t>
        <w:br/>
        <w:t>Rango: 01-02-26 - 28-02-26</w:t>
        <w:br/>
        <w:t>Generado: 02-03-26 14:20</w:t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RESUMEN EJECUTIVO</w:t>
      </w:r>
    </w:p>
    <w:p>
      <w:r>
        <w:t>Consumo total: 0 m³.</w:t>
        <w:br/>
      </w:r>
      <w:r>
        <w:t>Promedio diario: 0 m³.</w:t>
        <w:br/>
      </w:r>
      <w:r>
        <w:t>Número de días del periodo del reporte: 28.</w:t>
        <w:br/>
      </w:r>
      <w:r>
        <w:t>Número de alertas de consumo nocturno: 0.</w:t>
        <w:br/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CONSUMO</w:t>
      </w:r>
    </w:p>
    <w:p>
      <w:pPr>
        <w:jc w:val="both"/>
      </w:pPr>
      <w:r>
        <w:rPr>
          <w:color w:val="000000"/>
        </w:rPr>
        <w:t>Gráfica de consumo de agua.</w:t>
      </w:r>
    </w:p>
    <w:p>
      <w:pPr>
        <w:spacing w:after="60"/>
      </w:pPr>
    </w:p>
    <w:p>
      <w:pPr>
        <w:jc w:val="both"/>
      </w:pPr>
      <w:r>
        <w:rPr>
          <w:color w:val="000000"/>
        </w:rPr>
        <w:t>No hay suficientes datos para analizar variaciones de consumo.</w:t>
      </w:r>
    </w:p>
    <w:p/>
    <w:p>
      <w:pPr>
        <w:keepNext/>
        <w:widowControl/>
        <w:spacing w:after="60"/>
      </w:pPr>
      <w:r>
        <w:rPr>
          <w:b/>
          <w:color w:val="003366"/>
        </w:rPr>
        <w:t>MÉTRICAS CLAVE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6300"/>
        <w:gridCol w:w="900"/>
      </w:tblGrid>
      <w:tr>
        <w:tc>
          <w:tcPr>
            <w:tcW w:type="dxa" w:w="4320"/>
            <w:shd w:val="clear" w:fill="D9E1F2"/>
            <w:noWrap/>
          </w:tcPr>
          <w:p>
            <w:r>
              <w:t>Total (m³)</w:t>
            </w:r>
          </w:p>
        </w:tc>
        <w:tc>
          <w:tcPr>
            <w:tcW w:type="dxa" w:w="4320"/>
            <w:shd w:val="clear" w:fill="D9E1F2"/>
            <w:noWrap/>
          </w:tcPr>
          <w:p>
            <w:r>
              <w:t>0</w:t>
            </w:r>
          </w:p>
        </w:tc>
      </w:tr>
      <w:tr>
        <w:tc>
          <w:tcPr>
            <w:tcW w:type="dxa" w:w="4320"/>
            <w:noWrap/>
          </w:tcPr>
          <w:p>
            <w:r>
              <w:t>Promedio diario (m³)</w:t>
            </w:r>
          </w:p>
        </w:tc>
        <w:tc>
          <w:tcPr>
            <w:tcW w:type="dxa" w:w="4320"/>
            <w:noWrap/>
          </w:tcPr>
          <w:p>
            <w:r>
              <w:t>0</w:t>
            </w:r>
          </w:p>
        </w:tc>
      </w:tr>
      <w:tr>
        <w:tc>
          <w:tcPr>
            <w:tcW w:type="dxa" w:w="4320"/>
            <w:noWrap/>
          </w:tcPr>
          <w:p>
            <w:r>
              <w:t>Promedio mensual (m³)</w:t>
            </w:r>
          </w:p>
        </w:tc>
        <w:tc>
          <w:tcPr>
            <w:tcW w:type="dxa" w:w="4320"/>
            <w:noWrap/>
          </w:tcPr>
          <w:p>
            <w:r>
              <w:t>0</w:t>
            </w:r>
          </w:p>
        </w:tc>
      </w:tr>
      <w:tr>
        <w:tc>
          <w:tcPr>
            <w:tcW w:type="dxa" w:w="4320"/>
            <w:noWrap/>
          </w:tcPr>
          <w:p>
            <w:r>
              <w:t>Máximo diario</w:t>
            </w:r>
          </w:p>
        </w:tc>
        <w:tc>
          <w:tcPr>
            <w:tcW w:type="dxa" w:w="4320"/>
            <w:noWrap/>
          </w:tcPr>
          <w:p>
            <w:r>
              <w:t>N/D</w:t>
            </w:r>
          </w:p>
        </w:tc>
      </w:tr>
      <w:tr>
        <w:tc>
          <w:tcPr>
            <w:tcW w:type="dxa" w:w="4320"/>
            <w:noWrap/>
          </w:tcPr>
          <w:p>
            <w:r>
              <w:t>Mínimo diario</w:t>
            </w:r>
          </w:p>
        </w:tc>
        <w:tc>
          <w:tcPr>
            <w:tcW w:type="dxa" w:w="4320"/>
            <w:noWrap/>
          </w:tcPr>
          <w:p>
            <w:r>
              <w:t>N/D</w:t>
            </w:r>
          </w:p>
        </w:tc>
      </w:tr>
    </w:tbl>
    <w:p/>
    <w:p>
      <w:pPr>
        <w:keepNext/>
        <w:widowControl/>
        <w:spacing w:after="60"/>
      </w:pPr>
      <w:r>
        <w:rPr>
          <w:b/>
          <w:color w:val="003366"/>
        </w:rPr>
        <w:t>MÉTRICAS DE CONSUMO NOCTURNO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051"/>
        <w:gridCol w:w="1309"/>
      </w:tblGrid>
      <w:tr>
        <w:tc>
          <w:tcPr>
            <w:tcW w:type="dxa" w:w="4320"/>
            <w:shd w:val="clear" w:fill="D9E1F2"/>
            <w:noWrap/>
          </w:tcPr>
          <w:p>
            <w:r>
              <w:t>Número de días con consumo nocturno</w:t>
            </w:r>
          </w:p>
        </w:tc>
        <w:tc>
          <w:tcPr>
            <w:tcW w:type="dxa" w:w="4320"/>
            <w:shd w:val="clear" w:fill="D9E1F2"/>
            <w:noWrap/>
          </w:tcPr>
          <w:p>
            <w:r>
              <w:t>0</w:t>
            </w:r>
          </w:p>
        </w:tc>
      </w:tr>
      <w:tr>
        <w:tc>
          <w:tcPr>
            <w:tcW w:type="dxa" w:w="4320"/>
            <w:noWrap/>
          </w:tcPr>
          <w:p>
            <w:r>
              <w:t>Número de días sin consumo nocturno</w:t>
            </w:r>
          </w:p>
        </w:tc>
        <w:tc>
          <w:tcPr>
            <w:tcW w:type="dxa" w:w="4320"/>
            <w:noWrap/>
          </w:tcPr>
          <w:p>
            <w:r>
              <w:t>28</w:t>
            </w:r>
          </w:p>
        </w:tc>
      </w:tr>
      <w:tr>
        <w:tc>
          <w:tcPr>
            <w:tcW w:type="dxa" w:w="4320"/>
            <w:noWrap/>
          </w:tcPr>
          <w:p>
            <w:r>
              <w:t>Consumo nocturno (m³)</w:t>
            </w:r>
          </w:p>
        </w:tc>
        <w:tc>
          <w:tcPr>
            <w:tcW w:type="dxa" w:w="4320"/>
            <w:noWrap/>
          </w:tcPr>
          <w:p>
            <w:r>
              <w:t>0</w:t>
            </w:r>
          </w:p>
        </w:tc>
      </w:tr>
      <w:tr>
        <w:tc>
          <w:tcPr>
            <w:tcW w:type="dxa" w:w="4320"/>
            <w:noWrap/>
          </w:tcPr>
          <w:p>
            <w:r>
              <w:t>Consumo diurno efectivo (m³)</w:t>
            </w:r>
          </w:p>
        </w:tc>
        <w:tc>
          <w:tcPr>
            <w:tcW w:type="dxa" w:w="4320"/>
            <w:noWrap/>
          </w:tcPr>
          <w:p>
            <w:r>
              <w:t>0</w:t>
            </w:r>
          </w:p>
        </w:tc>
      </w:tr>
    </w:tbl>
    <w:p>
      <w:r>
        <w:t>No se gatillaron alertas en el periodo analizado.</w:t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CONCLUSIONES</w:t>
      </w:r>
    </w:p>
    <w:p>
      <w:pPr>
        <w:keepNext/>
        <w:widowControl/>
        <w:jc w:val="both"/>
      </w:pPr>
      <w:r>
        <w:rPr>
          <w:color w:val="000000"/>
        </w:rPr>
        <w:t>Este reporte sintetiza los principales hallazgos de consumo y fugas. Se recomienda revisar los días con mayor consumo y atender las alertas registradas.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before="0"/>
      <w:jc w:val="right"/>
    </w:pPr>
    <w:r>
      <w:drawing>
        <wp:inline xmlns:a="http://schemas.openxmlformats.org/drawingml/2006/main" xmlns:pic="http://schemas.openxmlformats.org/drawingml/2006/picture">
          <wp:extent cx="1371600" cy="304081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 wes.bmp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71600" cy="304081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b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