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Las Condes Alexander Fleming</w:t>
      </w:r>
    </w:p>
    <w:p>
      <w:pPr>
        <w:jc w:val="center"/>
      </w:pPr>
      <w:r>
        <w:t>MONITOREO WES</w:t>
        <w:br/>
        <w:t>Alexander Fleming</w:t>
        <w:br/>
        <w:t>Rango: 01-03-26 - 31-03-26</w:t>
        <w:br/>
        <w:t>Generado: 02-04-26 20:16</w:t>
      </w:r>
    </w:p>
    <w:p>
      <w:pPr>
        <w:pStyle w:val="Heading1"/>
        <w:keepNext/>
        <w:widowControl/>
        <w:spacing w:after="60"/>
      </w:pPr>
      <w:r>
        <w:rPr>
          <w:b/>
          <w:color w:val="003366"/>
        </w:rPr>
        <w:t>RESUMEN EJECUTIVO</w:t>
      </w:r>
    </w:p>
    <w:p>
      <w:r>
        <w:t>Consumo total: 13.260,2 m³.</w:t>
        <w:br/>
      </w:r>
      <w:r>
        <w:t>Promedio diario: 442 m³.</w:t>
        <w:br/>
      </w:r>
      <w:r>
        <w:t>Número de días del periodo del reporte: 31.</w:t>
        <w:br/>
      </w:r>
      <w:r>
        <w:t>Día pico: 22-03-26 (1.472,1 m³).</w:t>
        <w:br/>
      </w:r>
      <w:r>
        <w:t>Número de alertas de consumo nocturno: 16.</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2-00.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domingo 22-03-26 con 1.472,1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2-00.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4 semana(s) completa(s) (desde el lunes 2 de marzo de 2026 hasta el domingo 29 de marzo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2-00.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2-00.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30-03-26: Aumento del 16.924,5% (de 1,6 m³ a 263,9 m³). El equipo de monitoreo WES alertó este evento. • 11-03-26: Aumento del 5.104,5% (de 8,8 m³ a 455,4 m³). El día pico (22-03-26) registró un consumo de 1.472,1 m³, lo que representa un 233% por encima del promedio diario (442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600"/>
        <w:gridCol w:w="3600"/>
      </w:tblGrid>
      <w:tr>
        <w:tc>
          <w:tcPr>
            <w:tcW w:type="dxa" w:w="4320"/>
            <w:shd w:val="clear" w:fill="D9E1F2"/>
            <w:noWrap/>
          </w:tcPr>
          <w:p>
            <w:r>
              <w:t>Total (m³)</w:t>
            </w:r>
          </w:p>
        </w:tc>
        <w:tc>
          <w:tcPr>
            <w:tcW w:type="dxa" w:w="4320"/>
            <w:shd w:val="clear" w:fill="D9E1F2"/>
            <w:noWrap/>
          </w:tcPr>
          <w:p>
            <w:r>
              <w:t>13.260,2</w:t>
            </w:r>
          </w:p>
        </w:tc>
      </w:tr>
      <w:tr>
        <w:tc>
          <w:tcPr>
            <w:tcW w:type="dxa" w:w="4320"/>
            <w:noWrap/>
          </w:tcPr>
          <w:p>
            <w:r>
              <w:t>Promedio diario (m³)</w:t>
            </w:r>
          </w:p>
        </w:tc>
        <w:tc>
          <w:tcPr>
            <w:tcW w:type="dxa" w:w="4320"/>
            <w:noWrap/>
          </w:tcPr>
          <w:p>
            <w:r>
              <w:t>442</w:t>
            </w:r>
          </w:p>
        </w:tc>
      </w:tr>
      <w:tr>
        <w:tc>
          <w:tcPr>
            <w:tcW w:type="dxa" w:w="4320"/>
            <w:noWrap/>
          </w:tcPr>
          <w:p>
            <w:r>
              <w:t>Promedio mensual (m³)</w:t>
            </w:r>
          </w:p>
        </w:tc>
        <w:tc>
          <w:tcPr>
            <w:tcW w:type="dxa" w:w="4320"/>
            <w:noWrap/>
          </w:tcPr>
          <w:p>
            <w:r>
              <w:t>13.260,2</w:t>
            </w:r>
          </w:p>
        </w:tc>
      </w:tr>
      <w:tr>
        <w:tc>
          <w:tcPr>
            <w:tcW w:type="dxa" w:w="4320"/>
            <w:noWrap/>
          </w:tcPr>
          <w:p>
            <w:r>
              <w:t>Máximo diario</w:t>
            </w:r>
          </w:p>
        </w:tc>
        <w:tc>
          <w:tcPr>
            <w:tcW w:type="dxa" w:w="4320"/>
            <w:noWrap/>
          </w:tcPr>
          <w:p>
            <w:r>
              <w:t>1.472,1 m³ (22-03-26)</w:t>
            </w:r>
          </w:p>
        </w:tc>
      </w:tr>
      <w:tr>
        <w:tc>
          <w:tcPr>
            <w:tcW w:type="dxa" w:w="4320"/>
            <w:noWrap/>
          </w:tcPr>
          <w:p>
            <w:r>
              <w:t>Mínimo diario</w:t>
            </w:r>
          </w:p>
        </w:tc>
        <w:tc>
          <w:tcPr>
            <w:tcW w:type="dxa" w:w="4320"/>
            <w:noWrap/>
          </w:tcPr>
          <w:p>
            <w:r>
              <w:t>1,6 m³ (29-03-26)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3</w:t>
            </w:r>
          </w:p>
        </w:tc>
      </w:tr>
      <w:tr>
        <w:tc>
          <w:tcPr>
            <w:tcW w:type="dxa" w:w="4320"/>
            <w:noWrap/>
          </w:tcPr>
          <w:p>
            <w:r>
              <w:t>Consumo nocturno (m³)</w:t>
            </w:r>
          </w:p>
        </w:tc>
        <w:tc>
          <w:tcPr>
            <w:tcW w:type="dxa" w:w="4320"/>
            <w:noWrap/>
          </w:tcPr>
          <w:p>
            <w:r>
              <w:t>5.062,6</w:t>
            </w:r>
          </w:p>
        </w:tc>
      </w:tr>
      <w:tr>
        <w:tc>
          <w:tcPr>
            <w:tcW w:type="dxa" w:w="4320"/>
            <w:noWrap/>
          </w:tcPr>
          <w:p>
            <w:r>
              <w:t>Consumo diurno efectivo (m³)</w:t>
            </w:r>
          </w:p>
        </w:tc>
        <w:tc>
          <w:tcPr>
            <w:tcW w:type="dxa" w:w="4320"/>
            <w:noWrap/>
          </w:tcPr>
          <w:p>
            <w:r>
              <w:t>8.197,6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595350"/>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595350"/>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Alexander Fleming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22-00.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(15-03-26):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2-00.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(90,3%) y el periodo del reporte es mayor o igual a 7 días (31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732"/>
        <w:gridCol w:w="1628"/>
      </w:tblGrid>
      <w:tr>
        <w:tc>
          <w:tcPr>
            <w:tcW w:type="dxa" w:w="4320"/>
            <w:shd w:val="clear" w:fill="D9E1F2"/>
            <w:noWrap/>
          </w:tcPr>
          <w:p>
            <w:r>
              <w:t>Promedio hora consumo nocturno (m³/h)</w:t>
            </w:r>
          </w:p>
        </w:tc>
        <w:tc>
          <w:tcPr>
            <w:tcW w:type="dxa" w:w="4320"/>
            <w:shd w:val="clear" w:fill="D9E1F2"/>
            <w:noWrap/>
          </w:tcPr>
          <w:p>
            <w:r>
              <w:t>27,22</w:t>
            </w:r>
          </w:p>
        </w:tc>
      </w:tr>
      <w:tr>
        <w:tc>
          <w:tcPr>
            <w:tcW w:type="dxa" w:w="4320"/>
            <w:noWrap/>
          </w:tcPr>
          <w:p>
            <w:r>
              <w:t>Proyección día filtración (m³/día)</w:t>
            </w:r>
          </w:p>
        </w:tc>
        <w:tc>
          <w:tcPr>
            <w:tcW w:type="dxa" w:w="4320"/>
            <w:noWrap/>
          </w:tcPr>
          <w:p>
            <w:r>
              <w:t>653,2</w:t>
            </w:r>
          </w:p>
        </w:tc>
      </w:tr>
      <w:tr>
        <w:tc>
          <w:tcPr>
            <w:tcW w:type="dxa" w:w="4320"/>
            <w:noWrap/>
          </w:tcPr>
          <w:p>
            <w:r>
              <w:t>Proyección filtración del periodo (m³)</w:t>
            </w:r>
          </w:p>
        </w:tc>
        <w:tc>
          <w:tcPr>
            <w:tcW w:type="dxa" w:w="4320"/>
            <w:noWrap/>
          </w:tcPr>
          <w:p>
            <w:r>
              <w:t>20.250,5</w:t>
            </w:r>
          </w:p>
        </w:tc>
      </w:tr>
      <w:tr>
        <w:tc>
          <w:tcPr>
            <w:tcW w:type="dxa" w:w="4320"/>
            <w:noWrap/>
          </w:tcPr>
          <w:p>
            <w:r>
              <w:t>Consumo efectivo del periodo (m³)</w:t>
            </w:r>
          </w:p>
        </w:tc>
        <w:tc>
          <w:tcPr>
            <w:tcW w:type="dxa" w:w="4320"/>
            <w:noWrap/>
          </w:tcPr>
          <w:p>
            <w:r>
              <w:t>-6.990,3</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