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Las Condes Juan Pablo II</w:t>
      </w:r>
    </w:p>
    <w:p>
      <w:pPr>
        <w:jc w:val="center"/>
      </w:pPr>
      <w:r>
        <w:t>MONITOREO WES</w:t>
        <w:br/>
        <w:t>Juan Pablo II</w:t>
        <w:br/>
        <w:t>Rango: 01-02-26 - 28-02-26</w:t>
        <w:br/>
        <w:t>Generado: 02-03-26 14:13</w:t>
      </w:r>
    </w:p>
    <w:p>
      <w:pPr>
        <w:pStyle w:val="Heading1"/>
        <w:keepNext/>
        <w:widowControl/>
        <w:spacing w:after="60"/>
      </w:pPr>
      <w:r>
        <w:rPr>
          <w:b/>
          <w:color w:val="003366"/>
        </w:rPr>
        <w:t>RESUMEN EJECUTIVO</w:t>
      </w:r>
    </w:p>
    <w:p>
      <w:r>
        <w:t>Consumo total: 228,2 m³.</w:t>
        <w:br/>
      </w:r>
      <w:r>
        <w:t>Promedio diario: 9,1 m³.</w:t>
        <w:br/>
      </w:r>
      <w:r>
        <w:t>Número de días del periodo del reporte: 28.</w:t>
        <w:br/>
      </w:r>
      <w:r>
        <w:t>Día pico: 12-02-26 (15,6 m³).</w:t>
        <w:br/>
      </w:r>
      <w:r>
        <w:t>Número de alertas de consumo nocturno: 11.</w:t>
        <w:br/>
      </w:r>
    </w:p>
    <w:p>
      <w:pPr>
        <w:pStyle w:val="Heading1"/>
        <w:keepNext/>
        <w:widowControl/>
        <w:spacing w:after="60"/>
      </w:pPr>
      <w:r>
        <w:rPr>
          <w:b/>
          <w:color w:val="003366"/>
        </w:rPr>
        <w:t>CONSUMO</w:t>
      </w:r>
    </w:p>
    <w:p>
      <w:pPr>
        <w:jc w:val="both"/>
      </w:pPr>
      <w:r>
        <w:rPr>
          <w:color w:val="000000"/>
        </w:rPr>
        <w:t>En la gráfica se representan 25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2-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12-02-26 con 15,6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2-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2 semana(s) completa(s) (desde el lunes 9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2-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20867"/>
            <wp:docPr id="4" name="Picture 4"/>
            <wp:cNvGraphicFramePr>
              <a:graphicFrameLocks noChangeAspect="1"/>
            </wp:cNvGraphicFramePr>
            <a:graphic>
              <a:graphicData uri="http://schemas.openxmlformats.org/drawingml/2006/picture">
                <pic:pic>
                  <pic:nvPicPr>
                    <pic:cNvPr id="0" name="chart_hourly_min_000022-01.png"/>
                    <pic:cNvPicPr/>
                  </pic:nvPicPr>
                  <pic:blipFill>
                    <a:blip r:embed="rId13"/>
                    <a:stretch>
                      <a:fillRect/>
                    </a:stretch>
                  </pic:blipFill>
                  <pic:spPr>
                    <a:xfrm>
                      <a:off x="0" y="0"/>
                      <a:ext cx="5486400" cy="2720867"/>
                    </a:xfrm>
                    <a:prstGeom prst="rect"/>
                  </pic:spPr>
                </pic:pic>
              </a:graphicData>
            </a:graphic>
          </wp:inline>
        </w:drawing>
      </w:r>
    </w:p>
    <w:p>
      <w:pPr>
        <w:spacing w:after="60"/>
      </w:pPr>
    </w:p>
    <w:p>
      <w:pPr>
        <w:jc w:val="both"/>
      </w:pPr>
      <w:r>
        <w:rPr>
          <w:color w:val="000000"/>
        </w:rPr>
        <w:t>Se detectaron alzas significativas de consumo en los siguientes días: • 05-02-26: Aumento del 958,3% (de 0,7 m³ a 7,6 m³). El equipo de monitoreo WES alertó este evento. • 18-02-26: Aumento del 80,3% (de 7,9 m³ a 14,3 m³). El día pico (12-02-26) registró un consumo de 15,6 m³, lo que representa un 70,9% por encima del promedio diario (9,1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228,2</w:t>
            </w:r>
          </w:p>
        </w:tc>
      </w:tr>
      <w:tr>
        <w:tc>
          <w:tcPr>
            <w:tcW w:type="dxa" w:w="4320"/>
            <w:noWrap/>
          </w:tcPr>
          <w:p>
            <w:r>
              <w:t>Promedio diario (m³)</w:t>
            </w:r>
          </w:p>
        </w:tc>
        <w:tc>
          <w:tcPr>
            <w:tcW w:type="dxa" w:w="4320"/>
            <w:noWrap/>
          </w:tcPr>
          <w:p>
            <w:r>
              <w:t>9,1</w:t>
            </w:r>
          </w:p>
        </w:tc>
      </w:tr>
      <w:tr>
        <w:tc>
          <w:tcPr>
            <w:tcW w:type="dxa" w:w="4320"/>
            <w:noWrap/>
          </w:tcPr>
          <w:p>
            <w:r>
              <w:t>Promedio mensual (m³)</w:t>
            </w:r>
          </w:p>
        </w:tc>
        <w:tc>
          <w:tcPr>
            <w:tcW w:type="dxa" w:w="4320"/>
            <w:noWrap/>
          </w:tcPr>
          <w:p>
            <w:r>
              <w:t>273,8</w:t>
            </w:r>
          </w:p>
        </w:tc>
      </w:tr>
      <w:tr>
        <w:tc>
          <w:tcPr>
            <w:tcW w:type="dxa" w:w="4320"/>
            <w:noWrap/>
          </w:tcPr>
          <w:p>
            <w:r>
              <w:t>Máximo diario</w:t>
            </w:r>
          </w:p>
        </w:tc>
        <w:tc>
          <w:tcPr>
            <w:tcW w:type="dxa" w:w="4320"/>
            <w:noWrap/>
          </w:tcPr>
          <w:p>
            <w:r>
              <w:t>15,6 m³ (12-02-26)</w:t>
            </w:r>
          </w:p>
        </w:tc>
      </w:tr>
      <w:tr>
        <w:tc>
          <w:tcPr>
            <w:tcW w:type="dxa" w:w="4320"/>
            <w:noWrap/>
          </w:tcPr>
          <w:p>
            <w:r>
              <w:t>Mínimo diario</w:t>
            </w:r>
          </w:p>
        </w:tc>
        <w:tc>
          <w:tcPr>
            <w:tcW w:type="dxa" w:w="4320"/>
            <w:noWrap/>
          </w:tcPr>
          <w:p>
            <w:r>
              <w:t>0,7 m³ (04-02-26)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24</w:t>
            </w:r>
          </w:p>
        </w:tc>
      </w:tr>
      <w:tr>
        <w:tc>
          <w:tcPr>
            <w:tcW w:type="dxa" w:w="4320"/>
            <w:noWrap/>
          </w:tcPr>
          <w:p>
            <w:r>
              <w:t>Número de días sin consumo nocturno</w:t>
            </w:r>
          </w:p>
        </w:tc>
        <w:tc>
          <w:tcPr>
            <w:tcW w:type="dxa" w:w="4320"/>
            <w:noWrap/>
          </w:tcPr>
          <w:p>
            <w:r>
              <w:t>4</w:t>
            </w:r>
          </w:p>
        </w:tc>
      </w:tr>
      <w:tr>
        <w:tc>
          <w:tcPr>
            <w:tcW w:type="dxa" w:w="4320"/>
            <w:noWrap/>
          </w:tcPr>
          <w:p>
            <w:r>
              <w:t>Consumo nocturno (m³)</w:t>
            </w:r>
          </w:p>
        </w:tc>
        <w:tc>
          <w:tcPr>
            <w:tcW w:type="dxa" w:w="4320"/>
            <w:noWrap/>
          </w:tcPr>
          <w:p>
            <w:r>
              <w:t>102,5</w:t>
            </w:r>
          </w:p>
        </w:tc>
      </w:tr>
      <w:tr>
        <w:tc>
          <w:tcPr>
            <w:tcW w:type="dxa" w:w="4320"/>
            <w:noWrap/>
          </w:tcPr>
          <w:p>
            <w:r>
              <w:t>Consumo diurno efectivo (m³)</w:t>
            </w:r>
          </w:p>
        </w:tc>
        <w:tc>
          <w:tcPr>
            <w:tcW w:type="dxa" w:w="4320"/>
            <w:noWrap/>
          </w:tcPr>
          <w:p>
            <w:r>
              <w:t>125,6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51821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51821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Juan Pablo II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2-01.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(27-02-26):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2-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(85,7%)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45"/>
        <w:gridCol w:w="1415"/>
      </w:tblGrid>
      <w:tr>
        <w:tc>
          <w:tcPr>
            <w:tcW w:type="dxa" w:w="4320"/>
            <w:shd w:val="clear" w:fill="D9E1F2"/>
            <w:noWrap/>
          </w:tcPr>
          <w:p>
            <w:r>
              <w:t>Promedio hora consumo nocturno (m³/h)</w:t>
            </w:r>
          </w:p>
        </w:tc>
        <w:tc>
          <w:tcPr>
            <w:tcW w:type="dxa" w:w="4320"/>
            <w:shd w:val="clear" w:fill="D9E1F2"/>
            <w:noWrap/>
          </w:tcPr>
          <w:p>
            <w:r>
              <w:t>0,61</w:t>
            </w:r>
          </w:p>
        </w:tc>
      </w:tr>
      <w:tr>
        <w:tc>
          <w:tcPr>
            <w:tcW w:type="dxa" w:w="4320"/>
            <w:noWrap/>
          </w:tcPr>
          <w:p>
            <w:r>
              <w:t>Proyección día filtración (m³/día)</w:t>
            </w:r>
          </w:p>
        </w:tc>
        <w:tc>
          <w:tcPr>
            <w:tcW w:type="dxa" w:w="4320"/>
            <w:noWrap/>
          </w:tcPr>
          <w:p>
            <w:r>
              <w:t>14,6</w:t>
            </w:r>
          </w:p>
        </w:tc>
      </w:tr>
      <w:tr>
        <w:tc>
          <w:tcPr>
            <w:tcW w:type="dxa" w:w="4320"/>
            <w:noWrap/>
          </w:tcPr>
          <w:p>
            <w:r>
              <w:t>Proyección filtración del periodo (m³)</w:t>
            </w:r>
          </w:p>
        </w:tc>
        <w:tc>
          <w:tcPr>
            <w:tcW w:type="dxa" w:w="4320"/>
            <w:noWrap/>
          </w:tcPr>
          <w:p>
            <w:r>
              <w:t>410,1</w:t>
            </w:r>
          </w:p>
        </w:tc>
      </w:tr>
      <w:tr>
        <w:tc>
          <w:tcPr>
            <w:tcW w:type="dxa" w:w="4320"/>
            <w:noWrap/>
          </w:tcPr>
          <w:p>
            <w:r>
              <w:t>Consumo efectivo del periodo (m³)</w:t>
            </w:r>
          </w:p>
        </w:tc>
        <w:tc>
          <w:tcPr>
            <w:tcW w:type="dxa" w:w="4320"/>
            <w:noWrap/>
          </w:tcPr>
          <w:p>
            <w:r>
              <w:t>-181,9</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