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Nido de Aguilas</w:t>
      </w:r>
    </w:p>
    <w:p>
      <w:pPr>
        <w:jc w:val="center"/>
      </w:pPr>
      <w:r>
        <w:t>MONITOREO WES</w:t>
        <w:br/>
        <w:t>Análisis consolidado de 7 puntos de monitoreo</w:t>
        <w:br/>
        <w:t>Rango: 01-05-26 - 31-05-26</w:t>
        <w:br/>
        <w:t>Generado: 01-06-26 14:48</w:t>
      </w:r>
    </w:p>
    <w:p>
      <w:pPr>
        <w:pStyle w:val="Heading1"/>
        <w:keepNext/>
        <w:widowControl/>
        <w:spacing w:after="60"/>
      </w:pPr>
      <w:r>
        <w:rPr>
          <w:b/>
          <w:color w:val="003366"/>
        </w:rPr>
        <w:t>RESUMEN EJECUTIVO AGREGADO</w:t>
      </w:r>
    </w:p>
    <w:p>
      <w:r>
        <w:t>Puntos de monitoreo analizados: 7.</w:t>
        <w:br/>
      </w:r>
      <w:r>
        <w:t>Consumo total agregado: 18.901,9 m³.</w:t>
        <w:br/>
      </w:r>
      <w:r>
        <w:t>Consumo promedio por punto: 2.700,3 m³.</w:t>
        <w:br/>
      </w:r>
      <w:r>
        <w:t>Total de alertas registradas: 31.</w:t>
        <w:br/>
      </w:r>
      <w:r>
        <w:t>Promedio de alerta agregado: 0 m³/h.</w:t>
        <w:br/>
      </w:r>
      <w:r>
        <w:t>Proyección diaria de consumo nocturno agregada: 0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Estanque C, con un total de 9.403,8 m³ durante el periodo analizado. Este valor representa un 248,3% por encima del promedio (2.700,3 m³ por punto), indicando una demanda significativamente superior a la media. Por otro lado, el punto con menor consumo es Nido Piscina,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126"/>
        <w:gridCol w:w="1126"/>
        <w:gridCol w:w="1001"/>
        <w:gridCol w:w="1627"/>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Estanque C</w:t>
            </w:r>
          </w:p>
        </w:tc>
        <w:tc>
          <w:tcPr>
            <w:tcW w:type="dxa" w:w="1440"/>
            <w:noWrap/>
          </w:tcPr>
          <w:p>
            <w:r>
              <w:t>9.403,8</w:t>
            </w:r>
          </w:p>
        </w:tc>
        <w:tc>
          <w:tcPr>
            <w:tcW w:type="dxa" w:w="1440"/>
            <w:noWrap/>
          </w:tcPr>
          <w:p>
            <w:r>
              <w:t>0</w:t>
            </w:r>
          </w:p>
        </w:tc>
        <w:tc>
          <w:tcPr>
            <w:tcW w:type="dxa" w:w="1440"/>
            <w:noWrap/>
          </w:tcPr>
          <w:p>
            <w:pPr>
              <w:jc w:val="left"/>
            </w:pPr>
            <w:r>
              <w:t>2.579,5 m³</w:t>
            </w:r>
          </w:p>
          <w:p>
            <w:pPr>
              <w:jc w:val="left"/>
            </w:pPr>
            <w:r>
              <w:t>(31 días, 100%)</w:t>
            </w:r>
          </w:p>
        </w:tc>
        <w:tc>
          <w:tcPr>
            <w:tcW w:type="dxa" w:w="1440"/>
            <w:noWrap/>
          </w:tcPr>
          <w:p>
            <w:pPr>
              <w:jc w:val="left"/>
            </w:pPr>
            <w:r>
              <w:t>8.844 m³</w:t>
            </w:r>
          </w:p>
          <w:p>
            <w:pPr>
              <w:jc w:val="left"/>
            </w:pPr>
            <w:r>
              <w:t>(94%)</w:t>
            </w:r>
          </w:p>
        </w:tc>
      </w:tr>
      <w:tr>
        <w:tc>
          <w:tcPr>
            <w:tcW w:type="dxa" w:w="1440"/>
            <w:noWrap/>
          </w:tcPr>
          <w:p>
            <w:r>
              <w:t>2</w:t>
            </w:r>
          </w:p>
        </w:tc>
        <w:tc>
          <w:tcPr>
            <w:tcW w:type="dxa" w:w="1440"/>
            <w:noWrap/>
          </w:tcPr>
          <w:p>
            <w:r>
              <w:t>Elementary</w:t>
            </w:r>
          </w:p>
        </w:tc>
        <w:tc>
          <w:tcPr>
            <w:tcW w:type="dxa" w:w="1440"/>
            <w:noWrap/>
          </w:tcPr>
          <w:p>
            <w:r>
              <w:t>2.810,4</w:t>
            </w:r>
          </w:p>
        </w:tc>
        <w:tc>
          <w:tcPr>
            <w:tcW w:type="dxa" w:w="1440"/>
            <w:noWrap/>
          </w:tcPr>
          <w:p>
            <w:r>
              <w:t>0</w:t>
            </w:r>
          </w:p>
        </w:tc>
        <w:tc>
          <w:tcPr>
            <w:tcW w:type="dxa" w:w="1440"/>
            <w:noWrap/>
          </w:tcPr>
          <w:p>
            <w:pPr>
              <w:jc w:val="left"/>
            </w:pPr>
            <w:r>
              <w:t>791,6 m³</w:t>
            </w:r>
          </w:p>
          <w:p>
            <w:pPr>
              <w:jc w:val="left"/>
            </w:pPr>
            <w:r>
              <w:t>(31 días, 100%)</w:t>
            </w:r>
          </w:p>
        </w:tc>
        <w:tc>
          <w:tcPr>
            <w:tcW w:type="dxa" w:w="1440"/>
            <w:noWrap/>
          </w:tcPr>
          <w:p>
            <w:pPr>
              <w:jc w:val="left"/>
            </w:pPr>
            <w:r>
              <w:t>2.714,2 m³</w:t>
            </w:r>
          </w:p>
          <w:p>
            <w:pPr>
              <w:jc w:val="left"/>
            </w:pPr>
            <w:r>
              <w:t>(96,6%)</w:t>
            </w:r>
          </w:p>
        </w:tc>
      </w:tr>
      <w:tr>
        <w:tc>
          <w:tcPr>
            <w:tcW w:type="dxa" w:w="1440"/>
            <w:noWrap/>
          </w:tcPr>
          <w:p>
            <w:r>
              <w:t>3</w:t>
            </w:r>
          </w:p>
        </w:tc>
        <w:tc>
          <w:tcPr>
            <w:tcW w:type="dxa" w:w="1440"/>
            <w:noWrap/>
          </w:tcPr>
          <w:p>
            <w:r>
              <w:t>Nido Pozo Profundo</w:t>
            </w:r>
          </w:p>
        </w:tc>
        <w:tc>
          <w:tcPr>
            <w:tcW w:type="dxa" w:w="1440"/>
            <w:noWrap/>
          </w:tcPr>
          <w:p>
            <w:r>
              <w:t>2.236,5</w:t>
            </w:r>
          </w:p>
        </w:tc>
        <w:tc>
          <w:tcPr>
            <w:tcW w:type="dxa" w:w="1440"/>
            <w:noWrap/>
          </w:tcPr>
          <w:p>
            <w:r>
              <w:t>0</w:t>
            </w:r>
          </w:p>
        </w:tc>
        <w:tc>
          <w:tcPr>
            <w:tcW w:type="dxa" w:w="1440"/>
            <w:noWrap/>
          </w:tcPr>
          <w:p>
            <w:pPr>
              <w:jc w:val="left"/>
            </w:pPr>
            <w:r>
              <w:t>712,6 m³</w:t>
            </w:r>
          </w:p>
          <w:p>
            <w:pPr>
              <w:jc w:val="left"/>
            </w:pPr>
            <w:r>
              <w:t>(31 días, 100%)</w:t>
            </w:r>
          </w:p>
        </w:tc>
        <w:tc>
          <w:tcPr>
            <w:tcW w:type="dxa" w:w="1440"/>
            <w:noWrap/>
          </w:tcPr>
          <w:p>
            <w:pPr>
              <w:jc w:val="left"/>
            </w:pPr>
            <w:r>
              <w:t>2.443,2 m³</w:t>
            </w:r>
          </w:p>
          <w:p>
            <w:pPr>
              <w:jc w:val="left"/>
            </w:pPr>
            <w:r>
              <w:t>(109,2%)</w:t>
            </w:r>
          </w:p>
        </w:tc>
      </w:tr>
      <w:tr>
        <w:tc>
          <w:tcPr>
            <w:tcW w:type="dxa" w:w="1440"/>
            <w:noWrap/>
          </w:tcPr>
          <w:p>
            <w:r>
              <w:t>4</w:t>
            </w:r>
          </w:p>
        </w:tc>
        <w:tc>
          <w:tcPr>
            <w:tcW w:type="dxa" w:w="1440"/>
            <w:noWrap/>
          </w:tcPr>
          <w:p>
            <w:r>
              <w:t>Teatro</w:t>
            </w:r>
          </w:p>
        </w:tc>
        <w:tc>
          <w:tcPr>
            <w:tcW w:type="dxa" w:w="1440"/>
            <w:noWrap/>
          </w:tcPr>
          <w:p>
            <w:r>
              <w:t>2.197,6</w:t>
            </w:r>
          </w:p>
        </w:tc>
        <w:tc>
          <w:tcPr>
            <w:tcW w:type="dxa" w:w="1440"/>
            <w:noWrap/>
          </w:tcPr>
          <w:p>
            <w:r>
              <w:t>31</w:t>
            </w:r>
          </w:p>
        </w:tc>
        <w:tc>
          <w:tcPr>
            <w:tcW w:type="dxa" w:w="1440"/>
            <w:noWrap/>
          </w:tcPr>
          <w:p>
            <w:pPr>
              <w:jc w:val="left"/>
            </w:pPr>
            <w:r>
              <w:t>617,7 m³</w:t>
            </w:r>
          </w:p>
          <w:p>
            <w:pPr>
              <w:jc w:val="left"/>
            </w:pPr>
            <w:r>
              <w:t>(31 días, 100%)</w:t>
            </w:r>
          </w:p>
        </w:tc>
        <w:tc>
          <w:tcPr>
            <w:tcW w:type="dxa" w:w="1440"/>
            <w:noWrap/>
          </w:tcPr>
          <w:p>
            <w:pPr>
              <w:jc w:val="left"/>
            </w:pPr>
            <w:r>
              <w:t>2.117,7 m³</w:t>
            </w:r>
          </w:p>
          <w:p>
            <w:pPr>
              <w:jc w:val="left"/>
            </w:pPr>
            <w:r>
              <w:t>(96,4%)</w:t>
            </w:r>
          </w:p>
        </w:tc>
      </w:tr>
      <w:tr>
        <w:tc>
          <w:tcPr>
            <w:tcW w:type="dxa" w:w="1440"/>
            <w:noWrap/>
          </w:tcPr>
          <w:p>
            <w:r>
              <w:t>5</w:t>
            </w:r>
          </w:p>
        </w:tc>
        <w:tc>
          <w:tcPr>
            <w:tcW w:type="dxa" w:w="1440"/>
            <w:noWrap/>
          </w:tcPr>
          <w:p>
            <w:r>
              <w:t>Estanque B</w:t>
            </w:r>
          </w:p>
        </w:tc>
        <w:tc>
          <w:tcPr>
            <w:tcW w:type="dxa" w:w="1440"/>
            <w:noWrap/>
          </w:tcPr>
          <w:p>
            <w:r>
              <w:t>1.376,6</w:t>
            </w:r>
          </w:p>
        </w:tc>
        <w:tc>
          <w:tcPr>
            <w:tcW w:type="dxa" w:w="1440"/>
            <w:noWrap/>
          </w:tcPr>
          <w:p>
            <w:r>
              <w:t>0</w:t>
            </w:r>
          </w:p>
        </w:tc>
        <w:tc>
          <w:tcPr>
            <w:tcW w:type="dxa" w:w="1440"/>
            <w:noWrap/>
          </w:tcPr>
          <w:p>
            <w:pPr>
              <w:jc w:val="left"/>
            </w:pPr>
            <w:r>
              <w:t>553,1 m³</w:t>
            </w:r>
          </w:p>
          <w:p>
            <w:pPr>
              <w:jc w:val="left"/>
            </w:pPr>
            <w:r>
              <w:t>(14 días, 51,9%)</w:t>
            </w:r>
          </w:p>
        </w:tc>
        <w:tc>
          <w:tcPr>
            <w:tcW w:type="dxa" w:w="1440"/>
            <w:noWrap/>
          </w:tcPr>
          <w:p>
            <w:pPr>
              <w:jc w:val="left"/>
            </w:pPr>
            <w:r>
              <w:t>0,0 m³</w:t>
            </w:r>
          </w:p>
          <w:p>
            <w:pPr>
              <w:jc w:val="left"/>
            </w:pPr>
            <w:r>
              <w:t>(0,0%)</w:t>
            </w:r>
          </w:p>
        </w:tc>
      </w:tr>
      <w:tr>
        <w:tc>
          <w:tcPr>
            <w:tcW w:type="dxa" w:w="1440"/>
            <w:noWrap/>
          </w:tcPr>
          <w:p>
            <w:r>
              <w:t>6</w:t>
            </w:r>
          </w:p>
        </w:tc>
        <w:tc>
          <w:tcPr>
            <w:tcW w:type="dxa" w:w="1440"/>
            <w:noWrap/>
          </w:tcPr>
          <w:p>
            <w:r>
              <w:t>Nido High School</w:t>
            </w:r>
          </w:p>
        </w:tc>
        <w:tc>
          <w:tcPr>
            <w:tcW w:type="dxa" w:w="1440"/>
            <w:noWrap/>
          </w:tcPr>
          <w:p>
            <w:r>
              <w:t>877</w:t>
            </w:r>
          </w:p>
        </w:tc>
        <w:tc>
          <w:tcPr>
            <w:tcW w:type="dxa" w:w="1440"/>
            <w:noWrap/>
          </w:tcPr>
          <w:p>
            <w:r>
              <w:t>0</w:t>
            </w:r>
          </w:p>
        </w:tc>
        <w:tc>
          <w:tcPr>
            <w:tcW w:type="dxa" w:w="1440"/>
            <w:noWrap/>
          </w:tcPr>
          <w:p>
            <w:pPr>
              <w:jc w:val="left"/>
            </w:pPr>
            <w:r>
              <w:t>262,7 m³</w:t>
            </w:r>
          </w:p>
          <w:p>
            <w:pPr>
              <w:jc w:val="left"/>
            </w:pPr>
            <w:r>
              <w:t>(19 días, 61,3%)</w:t>
            </w:r>
          </w:p>
        </w:tc>
        <w:tc>
          <w:tcPr>
            <w:tcW w:type="dxa" w:w="1440"/>
            <w:noWrap/>
          </w:tcPr>
          <w:p>
            <w:pPr>
              <w:jc w:val="left"/>
            </w:pPr>
            <w:r>
              <w:t>0,0 m³</w:t>
            </w:r>
          </w:p>
          <w:p>
            <w:pPr>
              <w:jc w:val="left"/>
            </w:pPr>
            <w:r>
              <w:t>(0,0%)</w:t>
            </w:r>
          </w:p>
        </w:tc>
      </w:tr>
      <w:tr>
        <w:tc>
          <w:tcPr>
            <w:tcW w:type="dxa" w:w="1440"/>
            <w:noWrap/>
          </w:tcPr>
          <w:p>
            <w:r>
              <w:t>7</w:t>
            </w:r>
          </w:p>
        </w:tc>
        <w:tc>
          <w:tcPr>
            <w:tcW w:type="dxa" w:w="1440"/>
            <w:noWrap/>
          </w:tcPr>
          <w:p>
            <w:r>
              <w:t>Nido Piscina</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18.901,9</w:t>
            </w:r>
          </w:p>
        </w:tc>
        <w:tc>
          <w:tcPr>
            <w:tcW w:type="dxa" w:w="1440"/>
            <w:noWrap/>
            <w:shd w:val="clear" w:fill="FFE6E6"/>
          </w:tcPr>
          <w:p>
            <w:pPr>
              <w:jc w:val="left"/>
            </w:pPr>
            <w:r>
              <w:rPr>
                <w:b/>
                <w:color w:val="FF0000"/>
              </w:rPr>
              <w:t>31</w:t>
            </w:r>
          </w:p>
        </w:tc>
        <w:tc>
          <w:tcPr>
            <w:tcW w:type="dxa" w:w="1440"/>
            <w:noWrap/>
            <w:shd w:val="clear" w:fill="FFE6E6"/>
          </w:tcPr>
          <w:p>
            <w:pPr>
              <w:jc w:val="left"/>
            </w:pPr>
            <w:r>
              <w:rPr>
                <w:b/>
                <w:color w:val="FF0000"/>
              </w:rPr>
              <w:t>5.517,2 m³</w:t>
            </w:r>
          </w:p>
        </w:tc>
        <w:tc>
          <w:tcPr>
            <w:tcW w:type="dxa" w:w="1440"/>
            <w:noWrap/>
            <w:shd w:val="clear" w:fill="FFE6E6"/>
          </w:tcPr>
          <w:p>
            <w:pPr>
              <w:jc w:val="left"/>
            </w:pPr>
            <w:r>
              <w:rPr>
                <w:b/>
                <w:color w:val="FF0000"/>
              </w:rPr>
              <w:t>16.119,1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TEATRO (01-05-26):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7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Teatro registró 31 alerta(s) durante 31 día(s) del periodo analizado. La periodicidad de las alertas es diaria (todos los días del periodo). Se identificó una proyección de filtración de 2.117,7 m³ ($2.689.510),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C, Elementary, Nido Pozo Profundo y Teatro.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