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Buenaventura</w:t>
      </w:r>
    </w:p>
    <w:p>
      <w:pPr>
        <w:jc w:val="center"/>
      </w:pPr>
      <w:r>
        <w:t>MONITOREO WES</w:t>
        <w:br/>
        <w:t>Análisis consolidado de 2 puntos de monitoreo</w:t>
        <w:br/>
        <w:t>Rango: 01-02-26 - 28-02-26</w:t>
        <w:br/>
        <w:t>Generado: 01-03-26 15:26</w:t>
      </w:r>
    </w:p>
    <w:p>
      <w:pPr>
        <w:pStyle w:val="Heading1"/>
        <w:keepNext/>
        <w:widowControl/>
        <w:spacing w:after="60"/>
      </w:pPr>
      <w:r>
        <w:rPr>
          <w:b/>
          <w:color w:val="003366"/>
        </w:rPr>
        <w:t>RESUMEN EJECUTIVO AGREGADO</w:t>
      </w:r>
    </w:p>
    <w:p>
      <w:r>
        <w:t>Puntos de monitoreo analizados: 2.</w:t>
        <w:br/>
      </w:r>
      <w:r>
        <w:t>Consumo total agregado: 1.690,8 m³.</w:t>
        <w:br/>
      </w:r>
      <w:r>
        <w:t>Consumo promedio por punto: 845,4 m³.</w:t>
        <w:br/>
      </w:r>
      <w:r>
        <w:t>Total de alertas registradas: 61.</w:t>
        <w:br/>
      </w:r>
      <w:r>
        <w:t>Promedio de alerta agregado: 0,2 m³/h.</w:t>
        <w:br/>
      </w:r>
      <w:r>
        <w:t>Proyección diaria de consumo nocturno agregada: 5,2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San Ignacio 500, con un total de 1.383,1 m³ durante el periodo analizado. Este valor representa un 63,6% por encima del promedio (845,4 m³ por punto), indicando una demanda significativamente superior a la media. Por otro lado, el punto con menor consumo es San Ignacio 300, con un total de 307,7 m³. Este valor representa un 63,6% por debajo del promedio, mostrando una demanda significativamente inferior. La diferencia entre el punto de mayor y menor consumo es considerable, siendo el consumo máximo aproximadamente 4,5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986"/>
        <w:gridCol w:w="1184"/>
        <w:gridCol w:w="1052"/>
        <w:gridCol w:w="1578"/>
        <w:gridCol w:w="1578"/>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San Ignacio 500</w:t>
            </w:r>
          </w:p>
        </w:tc>
        <w:tc>
          <w:tcPr>
            <w:tcW w:type="dxa" w:w="1440"/>
            <w:noWrap/>
          </w:tcPr>
          <w:p>
            <w:r>
              <w:t>1.383,1</w:t>
            </w:r>
          </w:p>
        </w:tc>
        <w:tc>
          <w:tcPr>
            <w:tcW w:type="dxa" w:w="1440"/>
            <w:noWrap/>
          </w:tcPr>
          <w:p>
            <w:r>
              <w:t>29</w:t>
            </w:r>
          </w:p>
        </w:tc>
        <w:tc>
          <w:tcPr>
            <w:tcW w:type="dxa" w:w="1440"/>
            <w:noWrap/>
          </w:tcPr>
          <w:p>
            <w:pPr>
              <w:jc w:val="left"/>
            </w:pPr>
            <w:r>
              <w:t>167 m³</w:t>
            </w:r>
          </w:p>
          <w:p>
            <w:pPr>
              <w:jc w:val="left"/>
            </w:pPr>
            <w:r>
              <w:t>(27 días, 96,4%)</w:t>
            </w:r>
          </w:p>
        </w:tc>
        <w:tc>
          <w:tcPr>
            <w:tcW w:type="dxa" w:w="1440"/>
            <w:noWrap/>
          </w:tcPr>
          <w:p>
            <w:pPr>
              <w:jc w:val="left"/>
            </w:pPr>
            <w:r>
              <w:t>668 m³</w:t>
            </w:r>
          </w:p>
          <w:p>
            <w:pPr>
              <w:jc w:val="left"/>
            </w:pPr>
            <w:r>
              <w:t>(48,3%)</w:t>
            </w:r>
          </w:p>
        </w:tc>
      </w:tr>
      <w:tr>
        <w:tc>
          <w:tcPr>
            <w:tcW w:type="dxa" w:w="1440"/>
            <w:noWrap/>
          </w:tcPr>
          <w:p>
            <w:r>
              <w:t>2</w:t>
            </w:r>
          </w:p>
        </w:tc>
        <w:tc>
          <w:tcPr>
            <w:tcW w:type="dxa" w:w="1440"/>
            <w:noWrap/>
          </w:tcPr>
          <w:p>
            <w:r>
              <w:t>San Ignacio 300</w:t>
            </w:r>
          </w:p>
        </w:tc>
        <w:tc>
          <w:tcPr>
            <w:tcW w:type="dxa" w:w="1440"/>
            <w:noWrap/>
          </w:tcPr>
          <w:p>
            <w:r>
              <w:t>307,7</w:t>
            </w:r>
          </w:p>
        </w:tc>
        <w:tc>
          <w:tcPr>
            <w:tcW w:type="dxa" w:w="1440"/>
            <w:noWrap/>
          </w:tcPr>
          <w:p>
            <w:r>
              <w:t>32</w:t>
            </w:r>
          </w:p>
        </w:tc>
        <w:tc>
          <w:tcPr>
            <w:tcW w:type="dxa" w:w="1440"/>
            <w:noWrap/>
          </w:tcPr>
          <w:p>
            <w:pPr>
              <w:jc w:val="left"/>
            </w:pPr>
            <w:r>
              <w:t>15,2 m³</w:t>
            </w:r>
          </w:p>
          <w:p>
            <w:pPr>
              <w:jc w:val="left"/>
            </w:pPr>
            <w:r>
              <w:t>(26 días, 92,9%)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1.690,8</w:t>
            </w:r>
          </w:p>
        </w:tc>
        <w:tc>
          <w:tcPr>
            <w:tcW w:type="dxa" w:w="1440"/>
            <w:noWrap/>
            <w:shd w:val="clear" w:fill="FFE6E6"/>
          </w:tcPr>
          <w:p>
            <w:pPr>
              <w:jc w:val="left"/>
            </w:pPr>
            <w:r>
              <w:rPr>
                <w:b/>
                <w:color w:val="FF0000"/>
              </w:rPr>
              <w:t>61</w:t>
            </w:r>
          </w:p>
        </w:tc>
        <w:tc>
          <w:tcPr>
            <w:tcW w:type="dxa" w:w="1440"/>
            <w:noWrap/>
            <w:shd w:val="clear" w:fill="FFE6E6"/>
          </w:tcPr>
          <w:p>
            <w:pPr>
              <w:jc w:val="left"/>
            </w:pPr>
            <w:r>
              <w:rPr>
                <w:b/>
                <w:color w:val="FF0000"/>
              </w:rPr>
              <w:t>182,2 m³</w:t>
            </w:r>
          </w:p>
        </w:tc>
        <w:tc>
          <w:tcPr>
            <w:tcW w:type="dxa" w:w="1440"/>
            <w:noWrap/>
            <w:shd w:val="clear" w:fill="FFE6E6"/>
          </w:tcPr>
          <w:p>
            <w:pPr>
              <w:jc w:val="left"/>
            </w:pPr>
            <w:r>
              <w:rPr>
                <w:b/>
                <w:color w:val="FF0000"/>
              </w:rPr>
              <w:t>668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SAN IGNACIO 300 (02-02-26):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7.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San Ignacio 300 registró 32 alerta(s) durante 23 día(s) del periodo analizado. La periodicidad de las alertas es frecuente (más del 80% de los días).</w:t>
      </w:r>
    </w:p>
    <w:p/>
    <w:p>
      <w:pPr>
        <w:keepNext/>
        <w:widowControl/>
        <w:spacing w:after="60"/>
      </w:pPr>
      <w:r>
        <w:rPr>
          <w:b/>
          <w:color w:val="003366"/>
        </w:rPr>
        <w:t>DÍA CON MAYOR CONSUMO NOCTURNO - SAN IGNACIO 500 (02-02-26):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18.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San Ignacio 500 registró 29 alerta(s) durante 23 día(s) del periodo analizado. La periodicidad de las alertas es frecuente (más del 80% de los días). Se identificó una proyección de filtración de 600,8 m³ ($749.198),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5" name="Picture 5"/>
            <wp:cNvGraphicFramePr>
              <a:graphicFrameLocks noChangeAspect="1"/>
            </wp:cNvGraphicFramePr>
            <a:graphic>
              <a:graphicData uri="http://schemas.openxmlformats.org/drawingml/2006/picture">
                <pic:pic>
                  <pic:nvPicPr>
                    <pic:cNvPr id="0" name="chart_comparacion_mensual_agregada.png"/>
                    <pic:cNvPicPr/>
                  </pic:nvPicPr>
                  <pic:blipFill>
                    <a:blip r:embed="rId1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San Ignacio 500, con un volumen proyectado de 668 m³ (48,3%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