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Buenaventura</w:t>
      </w:r>
    </w:p>
    <w:p>
      <w:pPr>
        <w:jc w:val="center"/>
      </w:pPr>
      <w:r>
        <w:t>MONITOREO WES</w:t>
        <w:br/>
        <w:t>Análisis consolidado de 2 puntos de monitoreo</w:t>
        <w:br/>
        <w:t>Rango: 02-02-26 - 31-03-26</w:t>
        <w:br/>
        <w:t>Generado: 31-03-26 21:47</w:t>
      </w:r>
    </w:p>
    <w:p>
      <w:pPr>
        <w:pStyle w:val="Heading1"/>
        <w:keepNext/>
        <w:widowControl/>
        <w:spacing w:after="60"/>
      </w:pPr>
      <w:r>
        <w:rPr>
          <w:b/>
          <w:color w:val="003366"/>
        </w:rPr>
        <w:t>RESUMEN EJECUTIVO AGREGADO</w:t>
      </w:r>
    </w:p>
    <w:p>
      <w:r>
        <w:t>Puntos de monitoreo analizados: 2.</w:t>
        <w:br/>
      </w:r>
      <w:r>
        <w:t>Consumo total agregado: 2.876,6 m³.</w:t>
        <w:br/>
      </w:r>
      <w:r>
        <w:t>Consumo promedio por punto: 1.438,3 m³.</w:t>
        <w:br/>
      </w:r>
      <w:r>
        <w:t>Total de alertas registradas: 112.</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San Ignacio 500, con un total de 2.341,3 m³ durante el periodo analizado. Este valor representa un 62,8% por encima del promedio (1.438,3 m³ por punto), indicando una demanda significativamente superior a la media. Por otro lado, el punto con menor consumo es San Ignacio 300, con un total de 535,2 m³. Este valor representa un 62,8% por debajo del promedio, mostrando una demanda significativamente inferior. La diferencia entre el punto de mayor y menor consumo es considerable, siendo el consumo máximo aproximadamente 4,4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986"/>
        <w:gridCol w:w="1184"/>
        <w:gridCol w:w="1052"/>
        <w:gridCol w:w="1578"/>
        <w:gridCol w:w="1578"/>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San Ignacio 500</w:t>
            </w:r>
          </w:p>
        </w:tc>
        <w:tc>
          <w:tcPr>
            <w:tcW w:type="dxa" w:w="1440"/>
            <w:noWrap/>
          </w:tcPr>
          <w:p>
            <w:r>
              <w:t>2.341,3</w:t>
            </w:r>
          </w:p>
        </w:tc>
        <w:tc>
          <w:tcPr>
            <w:tcW w:type="dxa" w:w="1440"/>
            <w:noWrap/>
          </w:tcPr>
          <w:p>
            <w:r>
              <w:t>53</w:t>
            </w:r>
          </w:p>
        </w:tc>
        <w:tc>
          <w:tcPr>
            <w:tcW w:type="dxa" w:w="1440"/>
            <w:noWrap/>
          </w:tcPr>
          <w:p>
            <w:pPr>
              <w:jc w:val="left"/>
            </w:pPr>
            <w:r>
              <w:t>196,2 m³</w:t>
            </w:r>
          </w:p>
          <w:p>
            <w:pPr>
              <w:jc w:val="left"/>
            </w:pPr>
            <w:r>
              <w:t>(58 días, 100%)</w:t>
            </w:r>
          </w:p>
        </w:tc>
        <w:tc>
          <w:tcPr>
            <w:tcW w:type="dxa" w:w="1440"/>
            <w:noWrap/>
          </w:tcPr>
          <w:p>
            <w:pPr>
              <w:jc w:val="left"/>
            </w:pPr>
            <w:r>
              <w:t>784,7 m³</w:t>
            </w:r>
          </w:p>
          <w:p>
            <w:pPr>
              <w:jc w:val="left"/>
            </w:pPr>
            <w:r>
              <w:t>(33,5%)</w:t>
            </w:r>
          </w:p>
        </w:tc>
      </w:tr>
      <w:tr>
        <w:tc>
          <w:tcPr>
            <w:tcW w:type="dxa" w:w="1440"/>
            <w:noWrap/>
          </w:tcPr>
          <w:p>
            <w:r>
              <w:t>2</w:t>
            </w:r>
          </w:p>
        </w:tc>
        <w:tc>
          <w:tcPr>
            <w:tcW w:type="dxa" w:w="1440"/>
            <w:noWrap/>
          </w:tcPr>
          <w:p>
            <w:r>
              <w:t>San Ignacio 300</w:t>
            </w:r>
          </w:p>
        </w:tc>
        <w:tc>
          <w:tcPr>
            <w:tcW w:type="dxa" w:w="1440"/>
            <w:noWrap/>
          </w:tcPr>
          <w:p>
            <w:r>
              <w:t>535,2</w:t>
            </w:r>
          </w:p>
        </w:tc>
        <w:tc>
          <w:tcPr>
            <w:tcW w:type="dxa" w:w="1440"/>
            <w:noWrap/>
          </w:tcPr>
          <w:p>
            <w:r>
              <w:t>59</w:t>
            </w:r>
          </w:p>
        </w:tc>
        <w:tc>
          <w:tcPr>
            <w:tcW w:type="dxa" w:w="1440"/>
            <w:noWrap/>
          </w:tcPr>
          <w:p>
            <w:pPr>
              <w:jc w:val="left"/>
            </w:pPr>
            <w:r>
              <w:t>12,7 m³</w:t>
            </w:r>
          </w:p>
          <w:p>
            <w:pPr>
              <w:jc w:val="left"/>
            </w:pPr>
            <w:r>
              <w:t>(56 días, 96,6%)</w:t>
            </w:r>
          </w:p>
        </w:tc>
        <w:tc>
          <w:tcPr>
            <w:tcW w:type="dxa" w:w="1440"/>
            <w:noWrap/>
          </w:tcPr>
          <w:p>
            <w:pPr>
              <w:jc w:val="left"/>
            </w:pPr>
            <w:r>
              <w:t>51 m³</w:t>
            </w:r>
          </w:p>
          <w:p>
            <w:pPr>
              <w:jc w:val="left"/>
            </w:pPr>
            <w:r>
              <w:t>(9,5%)</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2.876,6</w:t>
            </w:r>
          </w:p>
        </w:tc>
        <w:tc>
          <w:tcPr>
            <w:tcW w:type="dxa" w:w="1440"/>
            <w:noWrap/>
            <w:shd w:val="clear" w:fill="FFE6E6"/>
          </w:tcPr>
          <w:p>
            <w:pPr>
              <w:jc w:val="left"/>
            </w:pPr>
            <w:r>
              <w:rPr>
                <w:b/>
                <w:color w:val="FF0000"/>
              </w:rPr>
              <w:t>112</w:t>
            </w:r>
          </w:p>
        </w:tc>
        <w:tc>
          <w:tcPr>
            <w:tcW w:type="dxa" w:w="1440"/>
            <w:noWrap/>
            <w:shd w:val="clear" w:fill="FFE6E6"/>
          </w:tcPr>
          <w:p>
            <w:pPr>
              <w:jc w:val="left"/>
            </w:pPr>
            <w:r>
              <w:rPr>
                <w:b/>
                <w:color w:val="FF0000"/>
              </w:rPr>
              <w:t>208,9 m³</w:t>
            </w:r>
          </w:p>
        </w:tc>
        <w:tc>
          <w:tcPr>
            <w:tcW w:type="dxa" w:w="1440"/>
            <w:noWrap/>
            <w:shd w:val="clear" w:fill="FFE6E6"/>
          </w:tcPr>
          <w:p>
            <w:pPr>
              <w:jc w:val="left"/>
            </w:pPr>
            <w:r>
              <w:rPr>
                <w:b/>
                <w:color w:val="FF0000"/>
              </w:rPr>
              <w:t>835,7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SAN IGNACIO 300 (02-02-26):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7.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San Ignacio 300 registró 59 alerta(s) durante 44 día(s) del periodo analizado. La periodicidad de las alertas es regular (más del 50% de los días). Se identificó una proyección de filtración de 51 m³ ($63.597), lo que indica un patrón de fuga constante durante el periodo.</w:t>
      </w:r>
    </w:p>
    <w:p/>
    <w:p>
      <w:pPr>
        <w:keepNext/>
        <w:widowControl/>
        <w:spacing w:after="60"/>
      </w:pPr>
      <w:r>
        <w:rPr>
          <w:b/>
          <w:color w:val="003366"/>
        </w:rPr>
        <w:t>DÍA CON MAYOR CONSUMO NOCTURNO - SAN IGNACIO 500 (02-02-26):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18.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San Ignacio 500 registró 53 alerta(s) durante 46 día(s) del periodo analizado. La periodicidad de las alertas es regular (más del 50% de los días). Se identificó una proyección de filtración de 784,7 m³ ($978.546),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San Ignacio 500 y San Ignacio 300.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