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Informe consolidado — Hallazgos por mall (Parque Arauco)</w:t>
      </w:r>
    </w:p>
    <w:p>
      <w:pPr>
        <w:jc w:val="both"/>
      </w:pPr>
      <w:r>
        <w:rPr>
          <w:color w:val="000000"/>
        </w:rPr>
        <w:t>Generado el 31-03-2026 21:27. Período analizado: 11/03/2026 a 31/03/2026. Cada sección resume el mall con la síntesis ejecutiva del análisis de consumo agregado, los tres mayores aportes por punto y el indicador de puntos sin consumo en el período. Los valores se calculan al ejecutar este script (API WES), alineado con los reportes Word agregados por mall.</w:t>
      </w:r>
    </w:p>
    <w:p>
      <w:pPr>
        <w:pStyle w:val="Heading1"/>
      </w:pPr>
      <w:r>
        <w:t>Resumen por mall (totales)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Mall</w:t>
            </w:r>
          </w:p>
        </w:tc>
        <w:tc>
          <w:tcPr>
            <w:tcW w:type="dxa" w:w="2160"/>
          </w:tcPr>
          <w:p>
            <w:r>
              <w:t>Puntos</w:t>
            </w:r>
          </w:p>
        </w:tc>
        <w:tc>
          <w:tcPr>
            <w:tcW w:type="dxa" w:w="2160"/>
          </w:tcPr>
          <w:p>
            <w:r>
              <w:t>Total m³ (período)</w:t>
            </w:r>
          </w:p>
        </w:tc>
        <w:tc>
          <w:tcPr>
            <w:tcW w:type="dxa" w:w="2160"/>
          </w:tcPr>
          <w:p>
            <w:r>
              <w:t>Prom. m³/día agreg.</w:t>
            </w:r>
          </w:p>
        </w:tc>
      </w:tr>
      <w:tr>
        <w:tc>
          <w:tcPr>
            <w:tcW w:type="dxa" w:w="2160"/>
          </w:tcPr>
          <w:p>
            <w:r>
              <w:t>Kennedy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33.260,9</w:t>
            </w:r>
          </w:p>
        </w:tc>
        <w:tc>
          <w:tcPr>
            <w:tcW w:type="dxa" w:w="2160"/>
          </w:tcPr>
          <w:p>
            <w:r>
              <w:t>1.583,9</w:t>
            </w:r>
          </w:p>
        </w:tc>
      </w:tr>
    </w:tbl>
    <w:p/>
    <w:p>
      <w:pPr>
        <w:pStyle w:val="Heading1"/>
      </w:pPr>
      <w:r>
        <w:t>Mall Kennedy</w:t>
      </w:r>
    </w:p>
    <w:p>
      <w:pPr>
        <w:jc w:val="both"/>
      </w:pPr>
      <w:r>
        <w:t>Puntos incluidos (12): 000025-20, 000025-21, 000025-22, 000025-23, 000025-24, 000025-25, 000025-26, 000025-27, 000025-28, 000025-29, 000025-35, 000025-36</w:t>
      </w:r>
    </w:p>
    <w:p>
      <w:pPr>
        <w:pStyle w:val="Heading2"/>
      </w:pPr>
      <w:r>
        <w:t>Hallazgo principal (síntesis ejecutiva)</w:t>
      </w:r>
    </w:p>
    <w:p>
      <w:pPr>
        <w:jc w:val="both"/>
      </w:pPr>
      <w:r>
        <w:rPr>
          <w:color w:val="000000"/>
        </w:rPr>
        <w:t>En el período considerado, Parque Arauco Mall Kennedy (puntos de monitoreo del mall incluidos en este reporte) acumuló un volumen total de 33.260,9 m³. Contando días con medición a nivel agregado, se observan 21 día(s) con datos; el promedio diario agregado resulta de 1.583,9 m³/día (total de consumo diario sumado entre puntos, dividido por días con registro). El día de mayor consumo global (suma de todos los puntos) fue 21-03-2026 con 581 m³; el día de menor consumo global fue 27-03-2026 con 0 m³.</w:t>
      </w:r>
    </w:p>
    <w:p>
      <w:pPr>
        <w:pStyle w:val="Heading2"/>
      </w:pPr>
      <w:r>
        <w:t>Mayores aportes de consumo (top 3)</w:t>
      </w:r>
    </w:p>
    <w:p>
      <w:pPr>
        <w:pStyle w:val="ListBullet"/>
      </w:pPr>
      <w:r>
        <w:t>1) Distrito de lujo DL (000025-27): 9.831,6 m³ (29,6 % del total agregado)</w:t>
      </w:r>
    </w:p>
    <w:p>
      <w:pPr>
        <w:pStyle w:val="ListBullet"/>
      </w:pPr>
      <w:r>
        <w:t>2) Sala de Bomba Sandia Antigua (000025-22): 8.994,4 m³ (27 % del total agregado)</w:t>
      </w:r>
    </w:p>
    <w:p>
      <w:pPr>
        <w:pStyle w:val="ListBullet"/>
      </w:pPr>
      <w:r>
        <w:t>3) Sala de Bomba Sandia Nueva (000025-28): 7.034,5 m³ (21,1 % del total agregado)</w:t>
      </w:r>
    </w:p>
    <w:p>
      <w:pPr>
        <w:pStyle w:val="Heading2"/>
      </w:pPr>
      <w:r>
        <w:t>Seguimiento operativo</w:t>
      </w:r>
    </w:p>
    <w:p>
      <w:r>
        <w:t>Puntos con consumo acumulado cero o sin registros en el período (referencia): 0.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