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Curauma</w:t>
      </w:r>
    </w:p>
    <w:p>
      <w:pPr>
        <w:jc w:val="center"/>
      </w:pPr>
      <w:r>
        <w:t>MONITOREO WES</w:t>
        <w:br/>
        <w:t>Análisis consolidado de 2 puntos de monitoreo</w:t>
        <w:br/>
        <w:t>Rango: 01-02-26 - 28-02-26</w:t>
        <w:br/>
        <w:t>Generado: 01-03-26 15:34</w:t>
      </w:r>
    </w:p>
    <w:p>
      <w:pPr>
        <w:pStyle w:val="Heading1"/>
        <w:keepNext/>
        <w:widowControl/>
        <w:spacing w:after="60"/>
      </w:pPr>
      <w:r>
        <w:rPr>
          <w:b/>
          <w:color w:val="003366"/>
        </w:rPr>
        <w:t>RESUMEN EJECUTIVO AGREGADO</w:t>
      </w:r>
    </w:p>
    <w:p>
      <w:r>
        <w:t>Puntos de monitoreo analizados: 2.</w:t>
        <w:br/>
      </w:r>
      <w:r>
        <w:t>Consumo total agregado: 37,7 m³.</w:t>
        <w:br/>
      </w:r>
      <w:r>
        <w:t>Consumo promedio por punto: 18,8 m³.</w:t>
        <w:br/>
      </w:r>
      <w:r>
        <w:t>Total de alertas registradas: 22.</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82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8248"/>
                    </a:xfrm>
                    <a:prstGeom prst="rect"/>
                  </pic:spPr>
                </pic:pic>
              </a:graphicData>
            </a:graphic>
          </wp:inline>
        </w:drawing>
      </w:r>
    </w:p>
    <w:p/>
    <w:p>
      <w:pPr>
        <w:jc w:val="both"/>
      </w:pPr>
      <w:r>
        <w:rPr>
          <w:color w:val="000000"/>
        </w:rPr>
        <w:t>El análisis comparativo revela que el punto con mayor consumo es Baños, con un total de 33,3 m³ durante el periodo analizado. Este valor representa un 76,6% por encima del promedio (18,8 m³ por punto), indicando una demanda significativamente superior a la media. Por otro lado, el punto con menor consumo es Matriz Principal, con un total de 4,4 m³. Este valor representa un 76,6% por debajo del promedio, mostrando una demanda significativamente inferior. La diferencia entre el punto de mayor y menor consumo es considerable, siendo el consumo máximo aproximadamente 7,5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1063"/>
        <w:gridCol w:w="1196"/>
        <w:gridCol w:w="1063"/>
        <w:gridCol w:w="1462"/>
        <w:gridCol w:w="159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Baños</w:t>
            </w:r>
          </w:p>
        </w:tc>
        <w:tc>
          <w:tcPr>
            <w:tcW w:type="dxa" w:w="1440"/>
            <w:noWrap/>
          </w:tcPr>
          <w:p>
            <w:r>
              <w:t>33,3</w:t>
            </w:r>
          </w:p>
        </w:tc>
        <w:tc>
          <w:tcPr>
            <w:tcW w:type="dxa" w:w="1440"/>
            <w:noWrap/>
          </w:tcPr>
          <w:p>
            <w:r>
              <w:t>11</w:t>
            </w:r>
          </w:p>
        </w:tc>
        <w:tc>
          <w:tcPr>
            <w:tcW w:type="dxa" w:w="1440"/>
            <w:noWrap/>
          </w:tcPr>
          <w:p>
            <w:pPr>
              <w:jc w:val="left"/>
            </w:pPr>
            <w:r>
              <w:t>4,3 m³</w:t>
            </w:r>
          </w:p>
          <w:p>
            <w:pPr>
              <w:jc w:val="left"/>
            </w:pPr>
            <w:r>
              <w:t>(4 días, 14,3%)</w:t>
            </w:r>
          </w:p>
        </w:tc>
        <w:tc>
          <w:tcPr>
            <w:tcW w:type="dxa" w:w="1440"/>
            <w:noWrap/>
          </w:tcPr>
          <w:p>
            <w:pPr>
              <w:jc w:val="left"/>
            </w:pPr>
            <w:r>
              <w:t>0,0 m³</w:t>
            </w:r>
          </w:p>
          <w:p>
            <w:pPr>
              <w:jc w:val="left"/>
            </w:pPr>
            <w:r>
              <w:t>(0,0%)</w:t>
            </w:r>
          </w:p>
        </w:tc>
      </w:tr>
      <w:tr>
        <w:tc>
          <w:tcPr>
            <w:tcW w:type="dxa" w:w="1440"/>
            <w:noWrap/>
          </w:tcPr>
          <w:p>
            <w:r>
              <w:t>2</w:t>
            </w:r>
          </w:p>
        </w:tc>
        <w:tc>
          <w:tcPr>
            <w:tcW w:type="dxa" w:w="1440"/>
            <w:noWrap/>
          </w:tcPr>
          <w:p>
            <w:r>
              <w:t>Matriz Principal</w:t>
            </w:r>
          </w:p>
        </w:tc>
        <w:tc>
          <w:tcPr>
            <w:tcW w:type="dxa" w:w="1440"/>
            <w:noWrap/>
          </w:tcPr>
          <w:p>
            <w:r>
              <w:t>4,4</w:t>
            </w:r>
          </w:p>
        </w:tc>
        <w:tc>
          <w:tcPr>
            <w:tcW w:type="dxa" w:w="1440"/>
            <w:noWrap/>
          </w:tcPr>
          <w:p>
            <w:r>
              <w:t>11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37,7</w:t>
            </w:r>
          </w:p>
        </w:tc>
        <w:tc>
          <w:tcPr>
            <w:tcW w:type="dxa" w:w="1440"/>
            <w:noWrap/>
            <w:shd w:val="clear" w:fill="FFE6E6"/>
          </w:tcPr>
          <w:p>
            <w:pPr>
              <w:jc w:val="left"/>
            </w:pPr>
            <w:r>
              <w:rPr>
                <w:b/>
                <w:color w:val="FF0000"/>
              </w:rPr>
              <w:t>22</w:t>
            </w:r>
          </w:p>
        </w:tc>
        <w:tc>
          <w:tcPr>
            <w:tcW w:type="dxa" w:w="1440"/>
            <w:noWrap/>
            <w:shd w:val="clear" w:fill="FFE6E6"/>
          </w:tcPr>
          <w:p>
            <w:pPr>
              <w:jc w:val="left"/>
            </w:pPr>
            <w:r>
              <w:rPr>
                <w:b/>
                <w:color w:val="FF0000"/>
              </w:rPr>
              <w:t>4,3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BAÑOS (22-02-26):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6.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Baños registró 11 alerta(s) durante 9 día(s) del periodo analizado. La periodicidad de las alertas es intermitente (más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