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El Bosque</w:t>
      </w:r>
    </w:p>
    <w:p>
      <w:pPr>
        <w:jc w:val="center"/>
      </w:pPr>
      <w:r>
        <w:t>MONITOREO WES</w:t>
        <w:br/>
        <w:t>Análisis consolidado de 1 puntos de monitoreo</w:t>
        <w:br/>
        <w:t>Rango: 01-02-26 - 28-02-26</w:t>
        <w:br/>
        <w:t>Generado: 02-03-26 14:56</w:t>
      </w:r>
    </w:p>
    <w:p>
      <w:pPr>
        <w:pStyle w:val="Heading1"/>
        <w:keepNext/>
        <w:widowControl/>
        <w:spacing w:after="60"/>
      </w:pPr>
      <w:r>
        <w:rPr>
          <w:b/>
          <w:color w:val="003366"/>
        </w:rPr>
        <w:t>RESUMEN EJECUTIVO AGREGADO</w:t>
      </w:r>
    </w:p>
    <w:p>
      <w:r>
        <w:t>Puntos de monitoreo analizados: 1.</w:t>
        <w:br/>
      </w:r>
      <w:r>
        <w:t>Consumo total agregado: 572,5 m³.</w:t>
        <w:br/>
      </w:r>
      <w:r>
        <w:t>Consumo promedio por punto: 572,5 m³.</w:t>
        <w:br/>
      </w:r>
      <w:r>
        <w:t>Total de alertas registradas: 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821"/>
        <w:gridCol w:w="1220"/>
        <w:gridCol w:w="1084"/>
        <w:gridCol w:w="1627"/>
        <w:gridCol w:w="162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Anillo Plaza</w:t>
            </w:r>
          </w:p>
        </w:tc>
        <w:tc>
          <w:tcPr>
            <w:tcW w:type="dxa" w:w="1440"/>
            <w:noWrap/>
          </w:tcPr>
          <w:p>
            <w:r>
              <w:t>572,5</w:t>
            </w:r>
          </w:p>
        </w:tc>
        <w:tc>
          <w:tcPr>
            <w:tcW w:type="dxa" w:w="1440"/>
            <w:noWrap/>
          </w:tcPr>
          <w:p>
            <w:r>
              <w:t>1</w:t>
            </w:r>
          </w:p>
        </w:tc>
        <w:tc>
          <w:tcPr>
            <w:tcW w:type="dxa" w:w="1440"/>
            <w:noWrap/>
          </w:tcPr>
          <w:p>
            <w:pPr>
              <w:jc w:val="left"/>
            </w:pPr>
            <w:r>
              <w:t>222,6 m³</w:t>
            </w:r>
          </w:p>
          <w:p>
            <w:pPr>
              <w:jc w:val="left"/>
            </w:pPr>
            <w:r>
              <w:t>(28 días, 100%)</w:t>
            </w:r>
          </w:p>
        </w:tc>
        <w:tc>
          <w:tcPr>
            <w:tcW w:type="dxa" w:w="1440"/>
            <w:noWrap/>
          </w:tcPr>
          <w:p>
            <w:pPr>
              <w:jc w:val="left"/>
            </w:pPr>
            <w:r>
              <w:t>890,5 m³</w:t>
            </w:r>
          </w:p>
          <w:p>
            <w:pPr>
              <w:jc w:val="left"/>
            </w:pPr>
            <w:r>
              <w:t>(155,5%)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572,5</w:t>
            </w:r>
          </w:p>
        </w:tc>
        <w:tc>
          <w:tcPr>
            <w:tcW w:type="dxa" w:w="1440"/>
            <w:noWrap/>
            <w:shd w:val="clear" w:fill="FFE6E6"/>
          </w:tcPr>
          <w:p>
            <w:pPr>
              <w:jc w:val="left"/>
            </w:pPr>
            <w:r>
              <w:rPr>
                <w:b/>
                <w:color w:val="FF0000"/>
              </w:rPr>
              <w:t>1</w:t>
            </w:r>
          </w:p>
        </w:tc>
        <w:tc>
          <w:tcPr>
            <w:tcW w:type="dxa" w:w="1440"/>
            <w:noWrap/>
            <w:shd w:val="clear" w:fill="FFE6E6"/>
          </w:tcPr>
          <w:p>
            <w:pPr>
              <w:jc w:val="left"/>
            </w:pPr>
            <w:r>
              <w:rPr>
                <w:b/>
                <w:color w:val="FF0000"/>
              </w:rPr>
              <w:t>222,6 m³</w:t>
            </w:r>
          </w:p>
        </w:tc>
        <w:tc>
          <w:tcPr>
            <w:tcW w:type="dxa" w:w="1440"/>
            <w:noWrap/>
            <w:shd w:val="clear" w:fill="FFE6E6"/>
          </w:tcPr>
          <w:p>
            <w:pPr>
              <w:jc w:val="left"/>
            </w:pPr>
            <w:r>
              <w:rPr>
                <w:b/>
                <w:color w:val="FF0000"/>
              </w:rPr>
              <w:t>890,5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ANILLO PLAZA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Anillo Plaza registró 1 alerta(s) durante 1 día(s) del periodo analizado. La periodicidad de las alertas es puntual (menos del 20% de los días). Se identificó una proyección de filtración de 890,5 m³ ($1.110.429),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Anillo Plaza, con un volumen proyectado de 890,5 m³ (155,5%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