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El Bosque</w:t>
      </w:r>
    </w:p>
    <w:p>
      <w:pPr>
        <w:jc w:val="center"/>
      </w:pPr>
      <w:r>
        <w:t>MONITOREO WES</w:t>
        <w:br/>
        <w:t>Análisis consolidado de 2 puntos de monitoreo</w:t>
        <w:br/>
        <w:t>Rango: 01-02-26 - 25-03-26</w:t>
        <w:br/>
        <w:t>Generado: 26-03-26 19:34</w:t>
      </w:r>
    </w:p>
    <w:p>
      <w:pPr>
        <w:pStyle w:val="Heading1"/>
        <w:keepNext/>
        <w:widowControl/>
        <w:spacing w:after="60"/>
      </w:pPr>
      <w:r>
        <w:rPr>
          <w:b/>
          <w:color w:val="003366"/>
        </w:rPr>
        <w:t>RESUMEN EJECUTIVO AGREGADO</w:t>
      </w:r>
    </w:p>
    <w:p>
      <w:r>
        <w:t>Puntos de monitoreo analizados: 2.</w:t>
        <w:br/>
      </w:r>
      <w:r>
        <w:t>Consumo total agregado: 4.481,6 m³.</w:t>
        <w:br/>
      </w:r>
      <w:r>
        <w:t>Consumo promedio por punto: 2.240,8 m³.</w:t>
        <w:br/>
      </w:r>
      <w:r>
        <w:t>Total de alertas registradas: 25.</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A.A, con un total de 3.394,7 m³ durante el periodo analizado. Este valor representa un 51,5% por encima del promedio (2.240,8 m³ por punto), indicando una demanda significativamente superior a la media. Por otro lado, el punto con menor consumo es Anillo Plaza, con un total de 1.086,9 m³. Este valor representa un 51,5% por debajo del promedio, mostrando una demanda significativamente inferior. La diferencia entre el punto de mayor y menor consumo es considerable, siendo el consumo máximo aproximadamente 3,1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821"/>
        <w:gridCol w:w="1220"/>
        <w:gridCol w:w="1084"/>
        <w:gridCol w:w="1627"/>
        <w:gridCol w:w="162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A.A</w:t>
            </w:r>
          </w:p>
        </w:tc>
        <w:tc>
          <w:tcPr>
            <w:tcW w:type="dxa" w:w="1440"/>
            <w:noWrap/>
          </w:tcPr>
          <w:p>
            <w:r>
              <w:t>3.394,7</w:t>
            </w:r>
          </w:p>
        </w:tc>
        <w:tc>
          <w:tcPr>
            <w:tcW w:type="dxa" w:w="1440"/>
            <w:noWrap/>
          </w:tcPr>
          <w:p>
            <w:r>
              <w:t>23</w:t>
            </w:r>
          </w:p>
        </w:tc>
        <w:tc>
          <w:tcPr>
            <w:tcW w:type="dxa" w:w="1440"/>
            <w:noWrap/>
          </w:tcPr>
          <w:p>
            <w:pPr>
              <w:jc w:val="left"/>
            </w:pPr>
            <w:r>
              <w:t>587,3 m³</w:t>
            </w:r>
          </w:p>
          <w:p>
            <w:pPr>
              <w:jc w:val="left"/>
            </w:pPr>
            <w:r>
              <w:t>(53 días, 100%)</w:t>
            </w:r>
          </w:p>
        </w:tc>
        <w:tc>
          <w:tcPr>
            <w:tcW w:type="dxa" w:w="1440"/>
            <w:noWrap/>
          </w:tcPr>
          <w:p>
            <w:pPr>
              <w:jc w:val="left"/>
            </w:pPr>
            <w:r>
              <w:t>2.349,2 m³</w:t>
            </w:r>
          </w:p>
          <w:p>
            <w:pPr>
              <w:jc w:val="left"/>
            </w:pPr>
            <w:r>
              <w:t>(69,2%)</w:t>
            </w:r>
          </w:p>
        </w:tc>
      </w:tr>
      <w:tr>
        <w:tc>
          <w:tcPr>
            <w:tcW w:type="dxa" w:w="1440"/>
            <w:noWrap/>
          </w:tcPr>
          <w:p>
            <w:r>
              <w:t>2</w:t>
            </w:r>
          </w:p>
        </w:tc>
        <w:tc>
          <w:tcPr>
            <w:tcW w:type="dxa" w:w="1440"/>
            <w:noWrap/>
          </w:tcPr>
          <w:p>
            <w:r>
              <w:t>Anillo Plaza</w:t>
            </w:r>
          </w:p>
        </w:tc>
        <w:tc>
          <w:tcPr>
            <w:tcW w:type="dxa" w:w="1440"/>
            <w:noWrap/>
          </w:tcPr>
          <w:p>
            <w:r>
              <w:t>1.086,9</w:t>
            </w:r>
          </w:p>
        </w:tc>
        <w:tc>
          <w:tcPr>
            <w:tcW w:type="dxa" w:w="1440"/>
            <w:noWrap/>
          </w:tcPr>
          <w:p>
            <w:r>
              <w:t>2</w:t>
            </w:r>
          </w:p>
        </w:tc>
        <w:tc>
          <w:tcPr>
            <w:tcW w:type="dxa" w:w="1440"/>
            <w:noWrap/>
          </w:tcPr>
          <w:p>
            <w:pPr>
              <w:jc w:val="left"/>
            </w:pPr>
            <w:r>
              <w:t>444,8 m³</w:t>
            </w:r>
          </w:p>
          <w:p>
            <w:pPr>
              <w:jc w:val="left"/>
            </w:pPr>
            <w:r>
              <w:t>(53 días, 100%)</w:t>
            </w:r>
          </w:p>
        </w:tc>
        <w:tc>
          <w:tcPr>
            <w:tcW w:type="dxa" w:w="1440"/>
            <w:noWrap/>
          </w:tcPr>
          <w:p>
            <w:pPr>
              <w:jc w:val="left"/>
            </w:pPr>
            <w:r>
              <w:t>1.779,2 m³</w:t>
            </w:r>
          </w:p>
          <w:p>
            <w:pPr>
              <w:jc w:val="left"/>
            </w:pPr>
            <w:r>
              <w:t>(163,7%)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4.481,6</w:t>
            </w:r>
          </w:p>
        </w:tc>
        <w:tc>
          <w:tcPr>
            <w:tcW w:type="dxa" w:w="1440"/>
            <w:noWrap/>
            <w:shd w:val="clear" w:fill="FFE6E6"/>
          </w:tcPr>
          <w:p>
            <w:pPr>
              <w:jc w:val="left"/>
            </w:pPr>
            <w:r>
              <w:rPr>
                <w:b/>
                <w:color w:val="FF0000"/>
              </w:rPr>
              <w:t>25</w:t>
            </w:r>
          </w:p>
        </w:tc>
        <w:tc>
          <w:tcPr>
            <w:tcW w:type="dxa" w:w="1440"/>
            <w:noWrap/>
            <w:shd w:val="clear" w:fill="FFE6E6"/>
          </w:tcPr>
          <w:p>
            <w:pPr>
              <w:jc w:val="left"/>
            </w:pPr>
            <w:r>
              <w:rPr>
                <w:b/>
                <w:color w:val="FF0000"/>
              </w:rPr>
              <w:t>1.032,1 m³</w:t>
            </w:r>
          </w:p>
        </w:tc>
        <w:tc>
          <w:tcPr>
            <w:tcW w:type="dxa" w:w="1440"/>
            <w:noWrap/>
            <w:shd w:val="clear" w:fill="FFE6E6"/>
          </w:tcPr>
          <w:p>
            <w:pPr>
              <w:jc w:val="left"/>
            </w:pPr>
            <w:r>
              <w:rPr>
                <w:b/>
                <w:color w:val="FF0000"/>
              </w:rPr>
              <w:t>4.128,4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ANILLO PLAZA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Anillo Plaza registró 2 alerta(s) durante 2 día(s) del periodo analizado. La periodicidad de las alertas es puntual (menos del 20% de los días). Se identificó una proyección de filtración de 1.779,2 m³ ($2.218.613), lo que indica un patrón de fuga constante durante el periodo.</w:t>
      </w:r>
    </w:p>
    <w:p/>
    <w:p>
      <w:pPr>
        <w:keepNext/>
        <w:widowControl/>
        <w:spacing w:after="60"/>
      </w:pPr>
      <w:r>
        <w:rPr>
          <w:b/>
          <w:color w:val="003366"/>
        </w:rPr>
        <w:t>DÍA CON MAYOR CONSUMO NOCTURNO - MATRIZ A.A (18-03-26):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30.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Matriz A.A registró 23 alerta(s) durante 21 día(s) del periodo analizado. La periodicidad de las alertas es intermitente (más del 20% de los días). Se identificó una proyección de filtración de 2.349,2 m³ ($2.929.452),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Matriz A.A y Anillo Plaza.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