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El Bosque</w:t>
      </w:r>
    </w:p>
    <w:p>
      <w:pPr>
        <w:jc w:val="center"/>
      </w:pPr>
      <w:r>
        <w:t>MONITOREO WES</w:t>
        <w:br/>
        <w:t>Análisis consolidado de 2 puntos de monitoreo</w:t>
        <w:br/>
        <w:t>Rango: 02-02-26 - 31-03-26</w:t>
        <w:br/>
        <w:t>Generado: 31-03-26 21:37</w:t>
      </w:r>
    </w:p>
    <w:p>
      <w:pPr>
        <w:pStyle w:val="Heading1"/>
        <w:keepNext/>
        <w:widowControl/>
        <w:spacing w:after="60"/>
      </w:pPr>
      <w:r>
        <w:rPr>
          <w:b/>
          <w:color w:val="003366"/>
        </w:rPr>
        <w:t>RESUMEN EJECUTIVO AGREGADO</w:t>
      </w:r>
    </w:p>
    <w:p>
      <w:r>
        <w:t>Puntos de monitoreo analizados: 2.</w:t>
        <w:br/>
      </w:r>
      <w:r>
        <w:t>Consumo total agregado: 4.982,7 m³.</w:t>
        <w:br/>
      </w:r>
      <w:r>
        <w:t>Consumo promedio por punto: 2.491,4 m³.</w:t>
        <w:br/>
      </w:r>
      <w:r>
        <w:t>Total de alertas registradas: 30.</w:t>
        <w:br/>
      </w:r>
      <w:r>
        <w:t>Promedio de alerta agregado: 0,1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A.A, con un total de 3.810,6 m³ durante el periodo analizado. Este valor representa un 53% por encima del promedio (2.491,4 m³ por punto), indicando una demanda significativamente superior a la media. Por otro lado, el punto con menor consumo es Anillo Plaza, con un total de 1.172,1 m³. Este valor representa un 53% por debajo del promedio, mostrando una demanda significativamente inferior. La diferencia entre el punto de mayor y menor consumo es considerable, siendo el consumo máximo aproximadamente 3,3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821"/>
        <w:gridCol w:w="1220"/>
        <w:gridCol w:w="1084"/>
        <w:gridCol w:w="1627"/>
        <w:gridCol w:w="162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A.A</w:t>
            </w:r>
          </w:p>
        </w:tc>
        <w:tc>
          <w:tcPr>
            <w:tcW w:type="dxa" w:w="1440"/>
            <w:noWrap/>
          </w:tcPr>
          <w:p>
            <w:r>
              <w:t>3.810,6</w:t>
            </w:r>
          </w:p>
        </w:tc>
        <w:tc>
          <w:tcPr>
            <w:tcW w:type="dxa" w:w="1440"/>
            <w:noWrap/>
          </w:tcPr>
          <w:p>
            <w:r>
              <w:t>28</w:t>
            </w:r>
          </w:p>
        </w:tc>
        <w:tc>
          <w:tcPr>
            <w:tcW w:type="dxa" w:w="1440"/>
            <w:noWrap/>
          </w:tcPr>
          <w:p>
            <w:pPr>
              <w:jc w:val="left"/>
            </w:pPr>
            <w:r>
              <w:t>657,6 m³</w:t>
            </w:r>
          </w:p>
          <w:p>
            <w:pPr>
              <w:jc w:val="left"/>
            </w:pPr>
            <w:r>
              <w:t>(58 días, 100%)</w:t>
            </w:r>
          </w:p>
        </w:tc>
        <w:tc>
          <w:tcPr>
            <w:tcW w:type="dxa" w:w="1440"/>
            <w:noWrap/>
          </w:tcPr>
          <w:p>
            <w:pPr>
              <w:jc w:val="left"/>
            </w:pPr>
            <w:r>
              <w:t>2.630,4 m³</w:t>
            </w:r>
          </w:p>
          <w:p>
            <w:pPr>
              <w:jc w:val="left"/>
            </w:pPr>
            <w:r>
              <w:t>(69%)</w:t>
            </w:r>
          </w:p>
        </w:tc>
      </w:tr>
      <w:tr>
        <w:tc>
          <w:tcPr>
            <w:tcW w:type="dxa" w:w="1440"/>
            <w:noWrap/>
          </w:tcPr>
          <w:p>
            <w:r>
              <w:t>2</w:t>
            </w:r>
          </w:p>
        </w:tc>
        <w:tc>
          <w:tcPr>
            <w:tcW w:type="dxa" w:w="1440"/>
            <w:noWrap/>
          </w:tcPr>
          <w:p>
            <w:r>
              <w:t>Anillo Plaza</w:t>
            </w:r>
          </w:p>
        </w:tc>
        <w:tc>
          <w:tcPr>
            <w:tcW w:type="dxa" w:w="1440"/>
            <w:noWrap/>
          </w:tcPr>
          <w:p>
            <w:r>
              <w:t>1.172,1</w:t>
            </w:r>
          </w:p>
        </w:tc>
        <w:tc>
          <w:tcPr>
            <w:tcW w:type="dxa" w:w="1440"/>
            <w:noWrap/>
          </w:tcPr>
          <w:p>
            <w:r>
              <w:t>2</w:t>
            </w:r>
          </w:p>
        </w:tc>
        <w:tc>
          <w:tcPr>
            <w:tcW w:type="dxa" w:w="1440"/>
            <w:noWrap/>
          </w:tcPr>
          <w:p>
            <w:pPr>
              <w:jc w:val="left"/>
            </w:pPr>
            <w:r>
              <w:t>479,6 m³</w:t>
            </w:r>
          </w:p>
          <w:p>
            <w:pPr>
              <w:jc w:val="left"/>
            </w:pPr>
            <w:r>
              <w:t>(58 días, 100%)</w:t>
            </w:r>
          </w:p>
        </w:tc>
        <w:tc>
          <w:tcPr>
            <w:tcW w:type="dxa" w:w="1440"/>
            <w:noWrap/>
          </w:tcPr>
          <w:p>
            <w:pPr>
              <w:jc w:val="left"/>
            </w:pPr>
            <w:r>
              <w:t>1.918,2 m³</w:t>
            </w:r>
          </w:p>
          <w:p>
            <w:pPr>
              <w:jc w:val="left"/>
            </w:pPr>
            <w:r>
              <w:t>(163,7%)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4.982,7</w:t>
            </w:r>
          </w:p>
        </w:tc>
        <w:tc>
          <w:tcPr>
            <w:tcW w:type="dxa" w:w="1440"/>
            <w:noWrap/>
            <w:shd w:val="clear" w:fill="FFE6E6"/>
          </w:tcPr>
          <w:p>
            <w:pPr>
              <w:jc w:val="left"/>
            </w:pPr>
            <w:r>
              <w:rPr>
                <w:b/>
                <w:color w:val="FF0000"/>
              </w:rPr>
              <w:t>30</w:t>
            </w:r>
          </w:p>
        </w:tc>
        <w:tc>
          <w:tcPr>
            <w:tcW w:type="dxa" w:w="1440"/>
            <w:noWrap/>
            <w:shd w:val="clear" w:fill="FFE6E6"/>
          </w:tcPr>
          <w:p>
            <w:pPr>
              <w:jc w:val="left"/>
            </w:pPr>
            <w:r>
              <w:rPr>
                <w:b/>
                <w:color w:val="FF0000"/>
              </w:rPr>
              <w:t>1.137,2 m³</w:t>
            </w:r>
          </w:p>
        </w:tc>
        <w:tc>
          <w:tcPr>
            <w:tcW w:type="dxa" w:w="1440"/>
            <w:noWrap/>
            <w:shd w:val="clear" w:fill="FFE6E6"/>
          </w:tcPr>
          <w:p>
            <w:pPr>
              <w:jc w:val="left"/>
            </w:pPr>
            <w:r>
              <w:rPr>
                <w:b/>
                <w:color w:val="FF0000"/>
              </w:rPr>
              <w:t>4.548,6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ANILLO PLAZA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Anillo Plaza registró 2 alerta(s) durante 2 día(s) del periodo analizado. La periodicidad de las alertas es puntual (menos del 20% de los días). Se identificó una proyección de filtración de 1.918,2 m³ ($2.392.045), lo que indica un patrón de fuga constante durante el periodo.</w:t>
      </w:r>
    </w:p>
    <w:p/>
    <w:p>
      <w:pPr>
        <w:keepNext/>
        <w:widowControl/>
        <w:spacing w:after="60"/>
      </w:pPr>
      <w:r>
        <w:rPr>
          <w:b/>
          <w:color w:val="003366"/>
        </w:rPr>
        <w:t>DÍA CON MAYOR CONSUMO NOCTURNO - MATRIZ A.A (18-03-26):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30.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Matriz A.A registró 28 alerta(s) durante 26 día(s) del periodo analizado. La periodicidad de las alertas es intermitente (más del 20% de los días). Se identificó una proyección de filtración de 2.630,4 m³ ($3.280.109),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Matriz A.A y Anillo Plaza.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