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Estación</w:t>
      </w:r>
    </w:p>
    <w:p>
      <w:pPr>
        <w:jc w:val="center"/>
      </w:pPr>
      <w:r>
        <w:t>MONITOREO WES</w:t>
        <w:br/>
        <w:t>Análisis consolidado de 4 puntos de monitoreo</w:t>
        <w:br/>
        <w:t>Rango: 01-02-26 - 28-02-26</w:t>
        <w:br/>
        <w:t>Generado: 01-03-26 16:27</w:t>
      </w:r>
    </w:p>
    <w:p>
      <w:pPr>
        <w:pStyle w:val="Heading1"/>
        <w:keepNext/>
        <w:widowControl/>
        <w:spacing w:after="60"/>
      </w:pPr>
      <w:r>
        <w:rPr>
          <w:b/>
          <w:color w:val="003366"/>
        </w:rPr>
        <w:t>RESUMEN EJECUTIVO AGREGADO</w:t>
      </w:r>
    </w:p>
    <w:p>
      <w:r>
        <w:t>Puntos de monitoreo analizados: 4.</w:t>
        <w:br/>
      </w:r>
      <w:r>
        <w:t>Consumo total agregado: 8.720,8 m³.</w:t>
        <w:br/>
      </w:r>
      <w:r>
        <w:t>Consumo promedio por punto: 2.180,2 m³.</w:t>
        <w:br/>
      </w:r>
      <w:r>
        <w:t>Total de alertas registradas: 7.</w:t>
        <w:br/>
      </w:r>
      <w:r>
        <w:t>Promedio de alerta agregado: 0 m³/h.</w:t>
        <w:br/>
      </w:r>
      <w:r>
        <w:t>Proyección diaria de consumo nocturno agregada: 0,3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Sala de Bomba Estanque Sur, con un total de 5.823,3 m³ durante el periodo analizado. Este valor representa un 167,1% por encima del promedio (2.180,2 m³ por punto), indicando una demanda significativamente superior a la media. Por otro lado, el punto con menor consumo es PIZZA HUT, con un total de 921,4 m³. Este valor representa un 57,7% por debajo del promedio, mostrando una demanda significativamente inferior. La diferencia entre el punto de mayor y menor consumo es considerable, siendo el consumo máximo aproximadamente 6,3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5"/>
        <w:gridCol w:w="1582"/>
        <w:gridCol w:w="1054"/>
        <w:gridCol w:w="937"/>
        <w:gridCol w:w="1406"/>
        <w:gridCol w:w="1406"/>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Sala de Bomba Estanque Sur</w:t>
            </w:r>
          </w:p>
        </w:tc>
        <w:tc>
          <w:tcPr>
            <w:tcW w:type="dxa" w:w="1440"/>
            <w:noWrap/>
          </w:tcPr>
          <w:p>
            <w:r>
              <w:t>5.823,3</w:t>
            </w:r>
          </w:p>
        </w:tc>
        <w:tc>
          <w:tcPr>
            <w:tcW w:type="dxa" w:w="1440"/>
            <w:noWrap/>
          </w:tcPr>
          <w:p>
            <w:r>
              <w:t>0</w:t>
            </w:r>
          </w:p>
        </w:tc>
        <w:tc>
          <w:tcPr>
            <w:tcW w:type="dxa" w:w="1440"/>
            <w:noWrap/>
          </w:tcPr>
          <w:p>
            <w:pPr>
              <w:jc w:val="left"/>
            </w:pPr>
            <w:r>
              <w:t>340,7 m³</w:t>
            </w:r>
          </w:p>
          <w:p>
            <w:pPr>
              <w:jc w:val="left"/>
            </w:pPr>
            <w:r>
              <w:t>(21 días, 75%)</w:t>
            </w:r>
          </w:p>
        </w:tc>
        <w:tc>
          <w:tcPr>
            <w:tcW w:type="dxa" w:w="1440"/>
            <w:noWrap/>
          </w:tcPr>
          <w:p>
            <w:pPr>
              <w:jc w:val="left"/>
            </w:pPr>
            <w:r>
              <w:t>0,0 m³</w:t>
            </w:r>
          </w:p>
          <w:p>
            <w:pPr>
              <w:jc w:val="left"/>
            </w:pPr>
            <w:r>
              <w:t>(0,0%)</w:t>
            </w:r>
          </w:p>
        </w:tc>
      </w:tr>
      <w:tr>
        <w:tc>
          <w:tcPr>
            <w:tcW w:type="dxa" w:w="1440"/>
            <w:noWrap/>
          </w:tcPr>
          <w:p>
            <w:r>
              <w:t>2</w:t>
            </w:r>
          </w:p>
        </w:tc>
        <w:tc>
          <w:tcPr>
            <w:tcW w:type="dxa" w:w="1440"/>
            <w:noWrap/>
          </w:tcPr>
          <w:p>
            <w:r>
              <w:t>Baños Públicos</w:t>
            </w:r>
          </w:p>
        </w:tc>
        <w:tc>
          <w:tcPr>
            <w:tcW w:type="dxa" w:w="1440"/>
            <w:noWrap/>
          </w:tcPr>
          <w:p>
            <w:r>
              <w:t>1.033,8</w:t>
            </w:r>
          </w:p>
        </w:tc>
        <w:tc>
          <w:tcPr>
            <w:tcW w:type="dxa" w:w="1440"/>
            <w:noWrap/>
          </w:tcPr>
          <w:p>
            <w:r>
              <w:t>1</w:t>
            </w:r>
          </w:p>
        </w:tc>
        <w:tc>
          <w:tcPr>
            <w:tcW w:type="dxa" w:w="1440"/>
            <w:noWrap/>
          </w:tcPr>
          <w:p>
            <w:pPr>
              <w:jc w:val="left"/>
            </w:pPr>
            <w:r>
              <w:t>63,4 m³</w:t>
            </w:r>
          </w:p>
          <w:p>
            <w:pPr>
              <w:jc w:val="left"/>
            </w:pPr>
            <w:r>
              <w:t>(23 días, 82,1%)</w:t>
            </w:r>
          </w:p>
        </w:tc>
        <w:tc>
          <w:tcPr>
            <w:tcW w:type="dxa" w:w="1440"/>
            <w:noWrap/>
          </w:tcPr>
          <w:p>
            <w:pPr>
              <w:jc w:val="left"/>
            </w:pPr>
            <w:r>
              <w:t>0,0 m³</w:t>
            </w:r>
          </w:p>
          <w:p>
            <w:pPr>
              <w:jc w:val="left"/>
            </w:pPr>
            <w:r>
              <w:t>(0,0%)</w:t>
            </w:r>
          </w:p>
        </w:tc>
      </w:tr>
      <w:tr>
        <w:tc>
          <w:tcPr>
            <w:tcW w:type="dxa" w:w="1440"/>
            <w:noWrap/>
          </w:tcPr>
          <w:p>
            <w:r>
              <w:t>3</w:t>
            </w:r>
          </w:p>
        </w:tc>
        <w:tc>
          <w:tcPr>
            <w:tcW w:type="dxa" w:w="1440"/>
            <w:noWrap/>
          </w:tcPr>
          <w:p>
            <w:r>
              <w:t>Estanque Norte Locales Mall</w:t>
            </w:r>
          </w:p>
        </w:tc>
        <w:tc>
          <w:tcPr>
            <w:tcW w:type="dxa" w:w="1440"/>
            <w:noWrap/>
          </w:tcPr>
          <w:p>
            <w:r>
              <w:t>942,4</w:t>
            </w:r>
          </w:p>
        </w:tc>
        <w:tc>
          <w:tcPr>
            <w:tcW w:type="dxa" w:w="1440"/>
            <w:noWrap/>
          </w:tcPr>
          <w:p>
            <w:r>
              <w:t>5</w:t>
            </w:r>
          </w:p>
        </w:tc>
        <w:tc>
          <w:tcPr>
            <w:tcW w:type="dxa" w:w="1440"/>
            <w:noWrap/>
          </w:tcPr>
          <w:p>
            <w:pPr>
              <w:jc w:val="left"/>
            </w:pPr>
            <w:r>
              <w:t>160,9 m³</w:t>
            </w:r>
          </w:p>
          <w:p>
            <w:pPr>
              <w:jc w:val="left"/>
            </w:pPr>
            <w:r>
              <w:t>(28 días, 100%)</w:t>
            </w:r>
          </w:p>
        </w:tc>
        <w:tc>
          <w:tcPr>
            <w:tcW w:type="dxa" w:w="1440"/>
            <w:noWrap/>
          </w:tcPr>
          <w:p>
            <w:pPr>
              <w:jc w:val="left"/>
            </w:pPr>
            <w:r>
              <w:t>643,6 m³</w:t>
            </w:r>
          </w:p>
          <w:p>
            <w:pPr>
              <w:jc w:val="left"/>
            </w:pPr>
            <w:r>
              <w:t>(68,3%)</w:t>
            </w:r>
          </w:p>
        </w:tc>
      </w:tr>
      <w:tr>
        <w:tc>
          <w:tcPr>
            <w:tcW w:type="dxa" w:w="1440"/>
            <w:noWrap/>
          </w:tcPr>
          <w:p>
            <w:r>
              <w:t>4</w:t>
            </w:r>
          </w:p>
        </w:tc>
        <w:tc>
          <w:tcPr>
            <w:tcW w:type="dxa" w:w="1440"/>
            <w:noWrap/>
          </w:tcPr>
          <w:p>
            <w:r>
              <w:t>PIZZA HUT</w:t>
            </w:r>
          </w:p>
        </w:tc>
        <w:tc>
          <w:tcPr>
            <w:tcW w:type="dxa" w:w="1440"/>
            <w:noWrap/>
          </w:tcPr>
          <w:p>
            <w:r>
              <w:t>921,4</w:t>
            </w:r>
          </w:p>
        </w:tc>
        <w:tc>
          <w:tcPr>
            <w:tcW w:type="dxa" w:w="1440"/>
            <w:noWrap/>
          </w:tcPr>
          <w:p>
            <w:r>
              <w:t>1</w:t>
            </w:r>
          </w:p>
        </w:tc>
        <w:tc>
          <w:tcPr>
            <w:tcW w:type="dxa" w:w="1440"/>
            <w:noWrap/>
          </w:tcPr>
          <w:p>
            <w:pPr>
              <w:jc w:val="left"/>
            </w:pPr>
            <w:r>
              <w:t>52,2 m³</w:t>
            </w:r>
          </w:p>
          <w:p>
            <w:pPr>
              <w:jc w:val="left"/>
            </w:pPr>
            <w:r>
              <w:t>(26 días, 92,9%)</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8.720,8</w:t>
            </w:r>
          </w:p>
        </w:tc>
        <w:tc>
          <w:tcPr>
            <w:tcW w:type="dxa" w:w="1440"/>
            <w:noWrap/>
            <w:shd w:val="clear" w:fill="FFE6E6"/>
          </w:tcPr>
          <w:p>
            <w:pPr>
              <w:jc w:val="left"/>
            </w:pPr>
            <w:r>
              <w:rPr>
                <w:b/>
                <w:color w:val="FF0000"/>
              </w:rPr>
              <w:t>7</w:t>
            </w:r>
          </w:p>
        </w:tc>
        <w:tc>
          <w:tcPr>
            <w:tcW w:type="dxa" w:w="1440"/>
            <w:noWrap/>
            <w:shd w:val="clear" w:fill="FFE6E6"/>
          </w:tcPr>
          <w:p>
            <w:pPr>
              <w:jc w:val="left"/>
            </w:pPr>
            <w:r>
              <w:rPr>
                <w:b/>
                <w:color w:val="FF0000"/>
              </w:rPr>
              <w:t>617,2 m³</w:t>
            </w:r>
          </w:p>
        </w:tc>
        <w:tc>
          <w:tcPr>
            <w:tcW w:type="dxa" w:w="1440"/>
            <w:noWrap/>
            <w:shd w:val="clear" w:fill="FFE6E6"/>
          </w:tcPr>
          <w:p>
            <w:pPr>
              <w:jc w:val="left"/>
            </w:pPr>
            <w:r>
              <w:rPr>
                <w:b/>
                <w:color w:val="FF0000"/>
              </w:rPr>
              <w:t>643,6 m³</w:t>
            </w:r>
          </w:p>
        </w:tc>
      </w:tr>
    </w:tbl>
    <w:p/>
    <w:p>
      <w:pPr>
        <w:keepNext/>
        <w:widowControl/>
        <w:spacing w:after="60"/>
        <w:jc w:val="center"/>
      </w:pPr>
      <w:r>
        <w:drawing>
          <wp:inline xmlns:a="http://schemas.openxmlformats.org/drawingml/2006/main" xmlns:pic="http://schemas.openxmlformats.org/drawingml/2006/picture">
            <wp:extent cx="5486400" cy="3454226"/>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54226"/>
                    </a:xfrm>
                    <a:prstGeom prst="rect"/>
                  </pic:spPr>
                </pic:pic>
              </a:graphicData>
            </a:graphic>
          </wp:inline>
        </w:drawing>
      </w:r>
    </w:p>
    <w:p/>
    <w:p>
      <w:pPr>
        <w:keepNext/>
        <w:widowControl/>
        <w:spacing w:after="60"/>
      </w:pPr>
      <w:r>
        <w:rPr>
          <w:b/>
          <w:color w:val="003366"/>
        </w:rPr>
        <w:t>DÍA CON MAYOR CONSUMO NOCTURNO - ESTANQUE NORTE LOCALES MALL (05-02-26):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Estanque Norte Locales Mall registró 5 alerta(s) durante 5 día(s) del periodo analizado. La periodicidad de las alertas es puntual (menos del 20% de los días). Se identificó una proyección de filtración de 643,6 m³ ($802.519), lo que indica un patrón de fuga constante durante el periodo.</w:t>
      </w:r>
    </w:p>
    <w:p/>
    <w:p>
      <w:pPr>
        <w:keepNext/>
        <w:widowControl/>
        <w:spacing w:after="60"/>
      </w:pPr>
      <w:r>
        <w:rPr>
          <w:b/>
          <w:color w:val="003366"/>
        </w:rPr>
        <w:t>DÍA CON MAYOR CONSUMO NOCTURNO - BAÑOS PÚBLICOS (05-02-26):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04.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Baños Públicos registró 1 alerta(s) durante 1 día(s) del periodo analizado. La periodicidad de las alertas es puntual (menos del 20% de los días).</w:t>
      </w:r>
    </w:p>
    <w:p/>
    <w:p>
      <w:pPr>
        <w:keepNext/>
        <w:widowControl/>
        <w:spacing w:after="60"/>
      </w:pPr>
      <w:r>
        <w:rPr>
          <w:b/>
          <w:color w:val="003366"/>
        </w:rPr>
        <w:t>DÍA CON MAYOR CONSUMO NOCTURNO - PIZZA HUT (23-02-26):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07.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PIZZA HUT registró 1 alerta(s) durante 1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6" name="Picture 6"/>
            <wp:cNvGraphicFramePr>
              <a:graphicFrameLocks noChangeAspect="1"/>
            </wp:cNvGraphicFramePr>
            <a:graphic>
              <a:graphicData uri="http://schemas.openxmlformats.org/drawingml/2006/picture">
                <pic:pic>
                  <pic:nvPicPr>
                    <pic:cNvPr id="0" name="chart_comparacion_mensual_agregada.png"/>
                    <pic:cNvPicPr/>
                  </pic:nvPicPr>
                  <pic:blipFill>
                    <a:blip r:embed="rId15"/>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Estanque Norte Locales Mall, con un volumen proyectado de 643,6 m³ (68,3%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