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Parque Arauco MAll Estación</w:t>
      </w:r>
    </w:p>
    <w:p>
      <w:pPr>
        <w:jc w:val="center"/>
      </w:pPr>
      <w:r>
        <w:t>MONITOREO WES</w:t>
        <w:br/>
        <w:t>Análisis consolidado de 4 puntos de monitoreo</w:t>
        <w:br/>
        <w:t>Rango: 02-02-26 - 31-03-26</w:t>
        <w:br/>
        <w:t>Generado: 31-03-26 22:03</w:t>
      </w:r>
    </w:p>
    <w:p>
      <w:pPr>
        <w:pStyle w:val="Heading1"/>
        <w:keepNext/>
        <w:widowControl/>
        <w:spacing w:after="60"/>
      </w:pPr>
      <w:r>
        <w:rPr>
          <w:b/>
          <w:color w:val="003366"/>
        </w:rPr>
        <w:t>RESUMEN EJECUTIVO AGREGADO</w:t>
      </w:r>
    </w:p>
    <w:p>
      <w:r>
        <w:t>Puntos de monitoreo analizados: 4.</w:t>
        <w:br/>
      </w:r>
      <w:r>
        <w:t>Consumo total agregado: 14.498,3 m³.</w:t>
        <w:br/>
      </w:r>
      <w:r>
        <w:t>Consumo promedio por punto: 3.624,6 m³.</w:t>
        <w:br/>
      </w:r>
      <w:r>
        <w:t>Total de alertas registradas: 23.</w:t>
        <w:br/>
      </w:r>
      <w:r>
        <w:t>Promedio de alerta agregado: 0,4 m³/h.</w:t>
        <w:br/>
      </w:r>
      <w:r>
        <w:t>Proyección diaria de consumo nocturno agregada: 9,6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Sala de Bomba Estanque Sur, con un total de 8.878,1 m³ durante el periodo analizado. Este valor representa un 144,9% por encima del promedio (3.624,6 m³ por punto), indicando una demanda significativamente superior a la media. Por otro lado, el punto con menor consumo es Baños Públicos, con un total de 1.716,3 m³. Este valor representa un 52,6% por debajo del promedio, mostrando una demanda significativamente inferior. La diferencia entre el punto de mayor y menor consumo es considerable, siendo el consumo máximo aproximadamente 5,2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5"/>
        <w:gridCol w:w="1567"/>
        <w:gridCol w:w="1045"/>
        <w:gridCol w:w="929"/>
        <w:gridCol w:w="1451"/>
        <w:gridCol w:w="1393"/>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Sala de Bomba Estanque Sur</w:t>
            </w:r>
          </w:p>
        </w:tc>
        <w:tc>
          <w:tcPr>
            <w:tcW w:type="dxa" w:w="1440"/>
            <w:noWrap/>
          </w:tcPr>
          <w:p>
            <w:r>
              <w:t>8.878,1</w:t>
            </w:r>
          </w:p>
        </w:tc>
        <w:tc>
          <w:tcPr>
            <w:tcW w:type="dxa" w:w="1440"/>
            <w:noWrap/>
          </w:tcPr>
          <w:p>
            <w:r>
              <w:t>2</w:t>
            </w:r>
          </w:p>
        </w:tc>
        <w:tc>
          <w:tcPr>
            <w:tcW w:type="dxa" w:w="1440"/>
            <w:noWrap/>
          </w:tcPr>
          <w:p>
            <w:pPr>
              <w:jc w:val="left"/>
            </w:pPr>
            <w:r>
              <w:t>368,6 m³</w:t>
            </w:r>
          </w:p>
          <w:p>
            <w:pPr>
              <w:jc w:val="left"/>
            </w:pPr>
            <w:r>
              <w:t>(25 días, 43,1%)</w:t>
            </w:r>
          </w:p>
        </w:tc>
        <w:tc>
          <w:tcPr>
            <w:tcW w:type="dxa" w:w="1440"/>
            <w:noWrap/>
          </w:tcPr>
          <w:p>
            <w:pPr>
              <w:jc w:val="left"/>
            </w:pPr>
            <w:r>
              <w:t>0,0 m³</w:t>
            </w:r>
          </w:p>
          <w:p>
            <w:pPr>
              <w:jc w:val="left"/>
            </w:pPr>
            <w:r>
              <w:t>(0,0%)</w:t>
            </w:r>
          </w:p>
        </w:tc>
      </w:tr>
      <w:tr>
        <w:tc>
          <w:tcPr>
            <w:tcW w:type="dxa" w:w="1440"/>
            <w:noWrap/>
          </w:tcPr>
          <w:p>
            <w:r>
              <w:t>2</w:t>
            </w:r>
          </w:p>
        </w:tc>
        <w:tc>
          <w:tcPr>
            <w:tcW w:type="dxa" w:w="1440"/>
            <w:noWrap/>
          </w:tcPr>
          <w:p>
            <w:r>
              <w:t>Estanque Norte Locales Mall</w:t>
            </w:r>
          </w:p>
        </w:tc>
        <w:tc>
          <w:tcPr>
            <w:tcW w:type="dxa" w:w="1440"/>
            <w:noWrap/>
          </w:tcPr>
          <w:p>
            <w:r>
              <w:t>2.092,9</w:t>
            </w:r>
          </w:p>
        </w:tc>
        <w:tc>
          <w:tcPr>
            <w:tcW w:type="dxa" w:w="1440"/>
            <w:noWrap/>
          </w:tcPr>
          <w:p>
            <w:r>
              <w:t>9</w:t>
            </w:r>
          </w:p>
        </w:tc>
        <w:tc>
          <w:tcPr>
            <w:tcW w:type="dxa" w:w="1440"/>
            <w:noWrap/>
          </w:tcPr>
          <w:p>
            <w:pPr>
              <w:jc w:val="left"/>
            </w:pPr>
            <w:r>
              <w:t>391,1 m³</w:t>
            </w:r>
          </w:p>
          <w:p>
            <w:pPr>
              <w:jc w:val="left"/>
            </w:pPr>
            <w:r>
              <w:t>(57 días, 98,3%)</w:t>
            </w:r>
          </w:p>
        </w:tc>
        <w:tc>
          <w:tcPr>
            <w:tcW w:type="dxa" w:w="1440"/>
            <w:noWrap/>
          </w:tcPr>
          <w:p>
            <w:pPr>
              <w:jc w:val="left"/>
            </w:pPr>
            <w:r>
              <w:t>1.564,6 m³</w:t>
            </w:r>
          </w:p>
          <w:p>
            <w:pPr>
              <w:jc w:val="left"/>
            </w:pPr>
            <w:r>
              <w:t>(74,8%)</w:t>
            </w:r>
          </w:p>
        </w:tc>
      </w:tr>
      <w:tr>
        <w:tc>
          <w:tcPr>
            <w:tcW w:type="dxa" w:w="1440"/>
            <w:noWrap/>
          </w:tcPr>
          <w:p>
            <w:r>
              <w:t>3</w:t>
            </w:r>
          </w:p>
        </w:tc>
        <w:tc>
          <w:tcPr>
            <w:tcW w:type="dxa" w:w="1440"/>
            <w:noWrap/>
          </w:tcPr>
          <w:p>
            <w:r>
              <w:t>PIZZA HUT</w:t>
            </w:r>
          </w:p>
        </w:tc>
        <w:tc>
          <w:tcPr>
            <w:tcW w:type="dxa" w:w="1440"/>
            <w:noWrap/>
          </w:tcPr>
          <w:p>
            <w:r>
              <w:t>1.811</w:t>
            </w:r>
          </w:p>
        </w:tc>
        <w:tc>
          <w:tcPr>
            <w:tcW w:type="dxa" w:w="1440"/>
            <w:noWrap/>
          </w:tcPr>
          <w:p>
            <w:r>
              <w:t>2</w:t>
            </w:r>
          </w:p>
        </w:tc>
        <w:tc>
          <w:tcPr>
            <w:tcW w:type="dxa" w:w="1440"/>
            <w:noWrap/>
          </w:tcPr>
          <w:p>
            <w:pPr>
              <w:jc w:val="left"/>
            </w:pPr>
            <w:r>
              <w:t>135,8 m³</w:t>
            </w:r>
          </w:p>
          <w:p>
            <w:pPr>
              <w:jc w:val="left"/>
            </w:pPr>
            <w:r>
              <w:t>(56 días, 96,6%)</w:t>
            </w:r>
          </w:p>
        </w:tc>
        <w:tc>
          <w:tcPr>
            <w:tcW w:type="dxa" w:w="1440"/>
            <w:noWrap/>
          </w:tcPr>
          <w:p>
            <w:pPr>
              <w:jc w:val="left"/>
            </w:pPr>
            <w:r>
              <w:t>543,3 m³</w:t>
            </w:r>
          </w:p>
          <w:p>
            <w:pPr>
              <w:jc w:val="left"/>
            </w:pPr>
            <w:r>
              <w:t>(30%)</w:t>
            </w:r>
          </w:p>
        </w:tc>
      </w:tr>
      <w:tr>
        <w:tc>
          <w:tcPr>
            <w:tcW w:type="dxa" w:w="1440"/>
            <w:noWrap/>
          </w:tcPr>
          <w:p>
            <w:r>
              <w:t>4</w:t>
            </w:r>
          </w:p>
        </w:tc>
        <w:tc>
          <w:tcPr>
            <w:tcW w:type="dxa" w:w="1440"/>
            <w:noWrap/>
          </w:tcPr>
          <w:p>
            <w:r>
              <w:t>Baños Públicos</w:t>
            </w:r>
          </w:p>
        </w:tc>
        <w:tc>
          <w:tcPr>
            <w:tcW w:type="dxa" w:w="1440"/>
            <w:noWrap/>
          </w:tcPr>
          <w:p>
            <w:r>
              <w:t>1.716,3</w:t>
            </w:r>
          </w:p>
        </w:tc>
        <w:tc>
          <w:tcPr>
            <w:tcW w:type="dxa" w:w="1440"/>
            <w:noWrap/>
          </w:tcPr>
          <w:p>
            <w:r>
              <w:t>10</w:t>
            </w:r>
          </w:p>
        </w:tc>
        <w:tc>
          <w:tcPr>
            <w:tcW w:type="dxa" w:w="1440"/>
            <w:noWrap/>
          </w:tcPr>
          <w:p>
            <w:pPr>
              <w:jc w:val="left"/>
            </w:pPr>
            <w:r>
              <w:t>94,2 m³</w:t>
            </w:r>
          </w:p>
          <w:p>
            <w:pPr>
              <w:jc w:val="left"/>
            </w:pPr>
            <w:r>
              <w:t>(53 días, 91,4%)</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14.498,3</w:t>
            </w:r>
          </w:p>
        </w:tc>
        <w:tc>
          <w:tcPr>
            <w:tcW w:type="dxa" w:w="1440"/>
            <w:noWrap/>
            <w:shd w:val="clear" w:fill="FFE6E6"/>
          </w:tcPr>
          <w:p>
            <w:pPr>
              <w:jc w:val="left"/>
            </w:pPr>
            <w:r>
              <w:rPr>
                <w:b/>
                <w:color w:val="FF0000"/>
              </w:rPr>
              <w:t>23</w:t>
            </w:r>
          </w:p>
        </w:tc>
        <w:tc>
          <w:tcPr>
            <w:tcW w:type="dxa" w:w="1440"/>
            <w:noWrap/>
            <w:shd w:val="clear" w:fill="FFE6E6"/>
          </w:tcPr>
          <w:p>
            <w:pPr>
              <w:jc w:val="left"/>
            </w:pPr>
            <w:r>
              <w:rPr>
                <w:b/>
                <w:color w:val="FF0000"/>
              </w:rPr>
              <w:t>989,7 m³</w:t>
            </w:r>
          </w:p>
        </w:tc>
        <w:tc>
          <w:tcPr>
            <w:tcW w:type="dxa" w:w="1440"/>
            <w:noWrap/>
            <w:shd w:val="clear" w:fill="FFE6E6"/>
          </w:tcPr>
          <w:p>
            <w:pPr>
              <w:jc w:val="left"/>
            </w:pPr>
            <w:r>
              <w:rPr>
                <w:b/>
                <w:color w:val="FF0000"/>
              </w:rPr>
              <w:t>2.107,9 m³</w:t>
            </w:r>
          </w:p>
        </w:tc>
      </w:tr>
    </w:tbl>
    <w:p/>
    <w:p>
      <w:pPr>
        <w:keepNext/>
        <w:widowControl/>
        <w:spacing w:after="60"/>
        <w:jc w:val="center"/>
      </w:pPr>
      <w:r>
        <w:drawing>
          <wp:inline xmlns:a="http://schemas.openxmlformats.org/drawingml/2006/main" xmlns:pic="http://schemas.openxmlformats.org/drawingml/2006/picture">
            <wp:extent cx="5486400" cy="3454226"/>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54226"/>
                    </a:xfrm>
                    <a:prstGeom prst="rect"/>
                  </pic:spPr>
                </pic:pic>
              </a:graphicData>
            </a:graphic>
          </wp:inline>
        </w:drawing>
      </w:r>
    </w:p>
    <w:p/>
    <w:p>
      <w:pPr>
        <w:keepNext/>
        <w:widowControl/>
        <w:spacing w:after="60"/>
      </w:pPr>
      <w:r>
        <w:rPr>
          <w:b/>
          <w:color w:val="003366"/>
        </w:rPr>
        <w:t>DÍA CON MAYOR CONSUMO NOCTURNO - ESTANQUE NORTE LOCALES MALL (02-03-26):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5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Estanque Norte Locales Mall registró 9 alerta(s) durante 9 día(s) del periodo analizado. La periodicidad de las alertas es puntual (menos del 20% de los días). Se identificó una proyección de filtración de 1.564,6 m³ ($1.951.006), lo que indica un patrón de fuga constante durante el periodo.</w:t>
      </w:r>
    </w:p>
    <w:p/>
    <w:p>
      <w:pPr>
        <w:keepNext/>
        <w:widowControl/>
        <w:spacing w:after="60"/>
      </w:pPr>
      <w:r>
        <w:rPr>
          <w:b/>
          <w:color w:val="003366"/>
        </w:rPr>
        <w:t>DÍA CON MAYOR CONSUMO NOCTURNO - BAÑOS PÚBLICOS (05-02-26):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5_04.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Baños Públicos registró 10 alerta(s) durante 10 día(s) del periodo analizado. La periodicidad de las alertas es puntual (menos del 20% de los días).</w:t>
      </w:r>
    </w:p>
    <w:p/>
    <w:p>
      <w:pPr>
        <w:keepNext/>
        <w:widowControl/>
        <w:spacing w:after="60"/>
      </w:pPr>
      <w:r>
        <w:rPr>
          <w:b/>
          <w:color w:val="003366"/>
        </w:rPr>
        <w:t>DÍA CON MAYOR CONSUMO NOCTURNO - PIZZA HUT (11-03-26):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25_07.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PIZZA HUT registró 2 alerta(s) durante 2 día(s) del periodo analizado. La periodicidad de las alertas es puntual (menos del 20% de los días). Se identificó una proyección de filtración de 543,3 m³ ($677.520), lo que indica un patrón de fuga constante durante el periodo.</w:t>
      </w:r>
    </w:p>
    <w:p/>
    <w:p>
      <w:pPr>
        <w:keepNext/>
        <w:widowControl/>
        <w:spacing w:after="60"/>
      </w:pPr>
      <w:r>
        <w:rPr>
          <w:b/>
          <w:color w:val="003366"/>
        </w:rPr>
        <w:t>DÍA CON MAYOR CONSUMO NOCTURNO - SALA DE BOMBA ESTANQUE SUR (15-02-26):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25_19.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Sala de Bomba Estanque Sur registró 2 alerta(s) durante 2 día(s) del periodo analizado. La periodicidad de las alertas es puntual (menos del 20% de los días).</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7" name="Picture 7"/>
            <wp:cNvGraphicFramePr>
              <a:graphicFrameLocks noChangeAspect="1"/>
            </wp:cNvGraphicFramePr>
            <a:graphic>
              <a:graphicData uri="http://schemas.openxmlformats.org/drawingml/2006/picture">
                <pic:pic>
                  <pic:nvPicPr>
                    <pic:cNvPr id="0" name="chart_comparacion_mensual_agregada.png"/>
                    <pic:cNvPicPr/>
                  </pic:nvPicPr>
                  <pic:blipFill>
                    <a:blip r:embed="rId16"/>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Estanque Norte Locales Mall y PIZZA HUT.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