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4"/>
        </w:rPr>
        <w:t>Análisis Parque Arauco Sala de Bomba Estanque Sur</w:t>
      </w:r>
    </w:p>
    <w:p>
      <w:pPr>
        <w:jc w:val="center"/>
      </w:pPr>
      <w:r>
        <w:t>MONITOREO WES</w:t>
        <w:br/>
        <w:t>Sala de Bomba Estanque Sur</w:t>
        <w:br/>
        <w:t>Rango: 01-02-26 - 28-02-26</w:t>
        <w:br/>
        <w:t>Generado: 01-03-26 16:25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EJECUTIVO</w:t>
      </w:r>
    </w:p>
    <w:p>
      <w:r>
        <w:t>Consumo total: 5.823,3 m³.</w:t>
        <w:br/>
      </w:r>
      <w:r>
        <w:t>Promedio diario: 277,3 m³.</w:t>
        <w:br/>
      </w:r>
      <w:r>
        <w:t>Número de días del periodo del reporte: 28.</w:t>
        <w:br/>
      </w:r>
      <w:r>
        <w:t>Día pico: 02-02-26 (374,9 m³).</w:t>
        <w:br/>
      </w:r>
      <w:r>
        <w:t>Número de alertas de consumo nocturno: 0.</w:t>
        <w:br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CONSUMO</w:t>
      </w:r>
    </w:p>
    <w:p>
      <w:pPr>
        <w:jc w:val="both"/>
      </w:pPr>
      <w:r>
        <w:rPr>
          <w:color w:val="000000"/>
        </w:rPr>
        <w:t>En la gráfica se representan 21 días. El periodo incluye todos los días de la semana.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nsumo_000025-1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mayor consumo se registró el lunes 02-02-26 con 374,9 m³. Este día corresponde a un día laboral, lo que típicamente se asocia con alta actividad hídrica. El análisis horario detallado de este día permite identificar los períodos de mayor demanda y los patrones de consumo específicos.</w:t>
      </w:r>
    </w:p>
    <w:p>
      <w:pPr>
        <w:spacing w:after="60"/>
      </w:pP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3099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romedios_semanales_000025-1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9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  <w:jc w:val="both"/>
      </w:pPr>
      <w:r>
        <w:rPr>
          <w:color w:val="000000"/>
        </w:rPr>
        <w:t>Esta gráfica muestra el promedio de consumo por día de la semana (lunes a domingo), calculado exclusivamente con semanas completas del período analizado. Para su elaboración, se identificaron 2 semana(s) completa(s) (desde el lunes 2 de febrero de 2026 hasta el domingo 15 de febrero de 2026), excluyendo aquellas semanas que no contenían todos los días de lunes a domingo. Los valores mostrados representan el promedio de consumo para cada día de la semana considerando únicamente estas semanas completas.</w:t>
      </w:r>
    </w:p>
    <w:p>
      <w:pPr>
        <w:keepNext/>
        <w:spacing w:after="0"/>
      </w:pPr>
    </w:p>
    <w:p>
      <w:pPr>
        <w:keepNext/>
        <w:widowControl/>
        <w:spacing w:after="60"/>
      </w:pPr>
      <w:r>
        <w:rPr>
          <w:b/>
          <w:color w:val="003366"/>
        </w:rPr>
        <w:t>ANÁLISIS DETALLADO POR HORA DE LOS DÍAS EXTREMOS:</w:t>
      </w:r>
    </w:p>
    <w:p>
      <w:pPr>
        <w:keepNext/>
        <w:widowControl/>
        <w:spacing w:after="60"/>
      </w:pPr>
      <w:r>
        <w:rPr>
          <w:b/>
          <w:color w:val="003366"/>
        </w:rPr>
        <w:t>DÍA CON MAYOR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ax_000025-1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</w:p>
    <w:p>
      <w:pPr>
        <w:keepNext/>
        <w:widowControl/>
        <w:spacing w:after="60"/>
      </w:pPr>
      <w:r>
        <w:rPr>
          <w:b/>
          <w:color w:val="003366"/>
        </w:rPr>
        <w:t>DÍA CON MENOR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435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in_000025-1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4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</w:p>
    <w:p>
      <w:pPr>
        <w:jc w:val="both"/>
      </w:pPr>
      <w:r>
        <w:rPr>
          <w:color w:val="000000"/>
        </w:rPr>
        <w:t>Se detectaron alzas significativas de consumo en los siguientes días: • 02-02-26: Aumento del 38% (de 271,7 m³ a 374,9 m³). • 09-02-26: Aumento del 24,7% (de 296 m³ a 368,9 m³). El día pico (02-02-26) registró un consumo de 374,9 m³, lo que representa un 35,2% por encima del promedio diario (277,3 m³).</w:t>
      </w:r>
    </w:p>
    <w:p/>
    <w:p>
      <w:pPr>
        <w:keepNext/>
        <w:widowControl/>
        <w:spacing w:after="60"/>
      </w:pPr>
      <w:r>
        <w:rPr>
          <w:b/>
          <w:color w:val="003366"/>
        </w:rPr>
        <w:t>MÉTRICAS CLAVE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780"/>
        <w:gridCol w:w="3420"/>
      </w:tblGrid>
      <w:tr>
        <w:tc>
          <w:tcPr>
            <w:tcW w:type="dxa" w:w="4320"/>
            <w:shd w:val="clear" w:fill="D9E1F2"/>
            <w:noWrap/>
          </w:tcPr>
          <w:p>
            <w:r>
              <w:t>Total (m³)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5.823,3</w:t>
            </w:r>
          </w:p>
        </w:tc>
      </w:tr>
      <w:tr>
        <w:tc>
          <w:tcPr>
            <w:tcW w:type="dxa" w:w="4320"/>
            <w:noWrap/>
          </w:tcPr>
          <w:p>
            <w:r>
              <w:t>Promedio diario (m³)</w:t>
            </w:r>
          </w:p>
        </w:tc>
        <w:tc>
          <w:tcPr>
            <w:tcW w:type="dxa" w:w="4320"/>
            <w:noWrap/>
          </w:tcPr>
          <w:p>
            <w:r>
              <w:t>277,3</w:t>
            </w:r>
          </w:p>
        </w:tc>
      </w:tr>
      <w:tr>
        <w:tc>
          <w:tcPr>
            <w:tcW w:type="dxa" w:w="4320"/>
            <w:noWrap/>
          </w:tcPr>
          <w:p>
            <w:r>
              <w:t>Promedio mensual (m³)</w:t>
            </w:r>
          </w:p>
        </w:tc>
        <w:tc>
          <w:tcPr>
            <w:tcW w:type="dxa" w:w="4320"/>
            <w:noWrap/>
          </w:tcPr>
          <w:p>
            <w:r>
              <w:t>8.319</w:t>
            </w:r>
          </w:p>
        </w:tc>
      </w:tr>
      <w:tr>
        <w:tc>
          <w:tcPr>
            <w:tcW w:type="dxa" w:w="4320"/>
            <w:noWrap/>
          </w:tcPr>
          <w:p>
            <w:r>
              <w:t>Máximo diario</w:t>
            </w:r>
          </w:p>
        </w:tc>
        <w:tc>
          <w:tcPr>
            <w:tcW w:type="dxa" w:w="4320"/>
            <w:noWrap/>
          </w:tcPr>
          <w:p>
            <w:r>
              <w:t>374,9 m³ (02-02-26)</w:t>
            </w:r>
          </w:p>
        </w:tc>
      </w:tr>
      <w:tr>
        <w:tc>
          <w:tcPr>
            <w:tcW w:type="dxa" w:w="4320"/>
            <w:noWrap/>
          </w:tcPr>
          <w:p>
            <w:r>
              <w:t>Mínimo diario</w:t>
            </w:r>
          </w:p>
        </w:tc>
        <w:tc>
          <w:tcPr>
            <w:tcW w:type="dxa" w:w="4320"/>
            <w:noWrap/>
          </w:tcPr>
          <w:p>
            <w:r>
              <w:t>131,7 m³ (20-02-26)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MÉTRICAS DE CONSUMO NOCTURNO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00"/>
        <w:gridCol w:w="1560"/>
      </w:tblGrid>
      <w:tr>
        <w:tc>
          <w:tcPr>
            <w:tcW w:type="dxa" w:w="4320"/>
            <w:shd w:val="clear" w:fill="D9E1F2"/>
            <w:noWrap/>
          </w:tcPr>
          <w:p>
            <w:r>
              <w:t>Número de días con consumo nocturno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21</w:t>
            </w:r>
          </w:p>
        </w:tc>
      </w:tr>
      <w:tr>
        <w:tc>
          <w:tcPr>
            <w:tcW w:type="dxa" w:w="4320"/>
            <w:noWrap/>
          </w:tcPr>
          <w:p>
            <w:r>
              <w:t>Número de días sin consumo nocturno</w:t>
            </w:r>
          </w:p>
        </w:tc>
        <w:tc>
          <w:tcPr>
            <w:tcW w:type="dxa" w:w="4320"/>
            <w:noWrap/>
          </w:tcPr>
          <w:p>
            <w:r>
              <w:t>7</w:t>
            </w:r>
          </w:p>
        </w:tc>
      </w:tr>
      <w:tr>
        <w:tc>
          <w:tcPr>
            <w:tcW w:type="dxa" w:w="4320"/>
            <w:noWrap/>
          </w:tcPr>
          <w:p>
            <w:r>
              <w:t>Consumo nocturno (m³)</w:t>
            </w:r>
          </w:p>
        </w:tc>
        <w:tc>
          <w:tcPr>
            <w:tcW w:type="dxa" w:w="4320"/>
            <w:noWrap/>
          </w:tcPr>
          <w:p>
            <w:r>
              <w:t>340,7</w:t>
            </w:r>
          </w:p>
        </w:tc>
      </w:tr>
      <w:tr>
        <w:tc>
          <w:tcPr>
            <w:tcW w:type="dxa" w:w="4320"/>
            <w:noWrap/>
          </w:tcPr>
          <w:p>
            <w:r>
              <w:t>Consumo diurno efectivo (m³)</w:t>
            </w:r>
          </w:p>
        </w:tc>
        <w:tc>
          <w:tcPr>
            <w:tcW w:type="dxa" w:w="4320"/>
            <w:noWrap/>
          </w:tcPr>
          <w:p>
            <w:r>
              <w:t>5.482,6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DISTRIBUCIÓN DE CONSUMO: NOCTURNO VS DIURNO EFECTIVO: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657600" cy="352099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umo_nocturno_vs_diurn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520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La gráfica de torta presentada muestra la distribución del consumo de agua entre el consumo nocturno y el consumo diurno efectivo. El consumo nocturno se calcula sumando todos los valores de consumo registrados entre las 00:00 y las 06:00 horas de todos los días del periodo analizado. El consumo diurno efectivo se calcula sumando todos los valores de consumo registrados entre las 06:00 y las 23:00 horas de todos los días del periodo analizado. Los porcentajes y valores mostrados en cada segmento de la gráfica representan la proporción y el volumen total (en m³) de cada tipo de consumo respecto al consumo total del periodo.</w:t>
      </w:r>
    </w:p>
    <w:p>
      <w:r>
        <w:t>No se gatillaron alertas en el periodo analizado.</w:t>
      </w:r>
    </w:p>
    <w:p/>
    <w:p>
      <w:pPr>
        <w:keepNext/>
        <w:widowControl/>
        <w:spacing w:after="60"/>
      </w:pPr>
      <w:r>
        <w:rPr>
          <w:b/>
          <w:color w:val="003366"/>
        </w:rPr>
        <w:t>DÍA CON MAYOR CONSUMO NOCTURNO (15-02-26):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max_nocturnal_day_000025-1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CONCLUSIONES</w:t>
      </w:r>
    </w:p>
    <w:p>
      <w:pPr>
        <w:keepNext/>
        <w:widowControl/>
        <w:jc w:val="both"/>
      </w:pPr>
      <w:r>
        <w:rPr>
          <w:color w:val="000000"/>
        </w:rPr>
        <w:t>Este reporte sintetiza los principales hallazgos de consumo y fugas. Se recomienda revisar los días con mayor consumo y atender las alertas registradas.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