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Kennedy</w:t>
      </w:r>
    </w:p>
    <w:p>
      <w:pPr>
        <w:jc w:val="center"/>
      </w:pPr>
      <w:r>
        <w:t>MONITOREO WES</w:t>
        <w:br/>
        <w:t>Análisis consolidado de 10 puntos de monitoreo</w:t>
        <w:br/>
        <w:t>Rango: 01-02-26 - 28-02-26</w:t>
        <w:br/>
        <w:t>Generado: 01-03-26 16:49</w:t>
      </w:r>
    </w:p>
    <w:p>
      <w:pPr>
        <w:pStyle w:val="Heading1"/>
        <w:keepNext/>
        <w:widowControl/>
        <w:spacing w:after="60"/>
      </w:pPr>
      <w:r>
        <w:rPr>
          <w:b/>
          <w:color w:val="003366"/>
        </w:rPr>
        <w:t>RESUMEN EJECUTIVO AGREGADO</w:t>
      </w:r>
    </w:p>
    <w:p>
      <w:r>
        <w:t>Puntos de monitoreo analizados: 10.</w:t>
        <w:br/>
      </w:r>
      <w:r>
        <w:t>Consumo total agregado: 70.864,6 m³.</w:t>
        <w:br/>
      </w:r>
      <w:r>
        <w:t>Consumo promedio por punto: 7.086,5 m³.</w:t>
        <w:br/>
      </w:r>
      <w:r>
        <w:t>Total de alertas registradas: 135.</w:t>
        <w:br/>
      </w:r>
      <w:r>
        <w:t>Promedio de alerta agregado: 4,1 m³/h.</w:t>
        <w:br/>
      </w:r>
      <w:r>
        <w:t>Proyección diaria de consumo nocturno agregada: 97,7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Distrito de lujo DL, con un total de 28.303,5 m³ durante el periodo analizado. Este valor representa un 299,4% por encima del promedio (7.086,5 m³ por punto), indicando una demanda significativamente superior a la media. Por otro lado, el punto con menor consumo es Baño N°6 Varones, con un total de 0,7 m³. Este valor representa un 100% por debajo del promedio, mostrando una demanda significativamente inferior. La diferencia entre el punto de mayor y menor consumo es considerable, siendo el consumo máximo aproximadamente 42.244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29"/>
        <w:gridCol w:w="1937"/>
        <w:gridCol w:w="1051"/>
        <w:gridCol w:w="1051"/>
        <w:gridCol w:w="1399"/>
        <w:gridCol w:w="129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Distrito de lujo DL</w:t>
            </w:r>
          </w:p>
        </w:tc>
        <w:tc>
          <w:tcPr>
            <w:tcW w:type="dxa" w:w="1440"/>
            <w:noWrap/>
          </w:tcPr>
          <w:p>
            <w:r>
              <w:t>28.303,5</w:t>
            </w:r>
          </w:p>
        </w:tc>
        <w:tc>
          <w:tcPr>
            <w:tcW w:type="dxa" w:w="1440"/>
            <w:noWrap/>
          </w:tcPr>
          <w:p>
            <w:r>
              <w:t>1</w:t>
            </w:r>
          </w:p>
        </w:tc>
        <w:tc>
          <w:tcPr>
            <w:tcW w:type="dxa" w:w="1440"/>
            <w:noWrap/>
          </w:tcPr>
          <w:p>
            <w:pPr>
              <w:jc w:val="left"/>
            </w:pPr>
            <w:r>
              <w:t>6.809,7 m³</w:t>
            </w:r>
          </w:p>
          <w:p>
            <w:pPr>
              <w:jc w:val="left"/>
            </w:pPr>
            <w:r>
              <w:t>(28 días, 100%)</w:t>
            </w:r>
          </w:p>
        </w:tc>
        <w:tc>
          <w:tcPr>
            <w:tcW w:type="dxa" w:w="1440"/>
            <w:noWrap/>
          </w:tcPr>
          <w:p>
            <w:pPr>
              <w:jc w:val="left"/>
            </w:pPr>
            <w:r>
              <w:t>27.238,8 m³</w:t>
            </w:r>
          </w:p>
          <w:p>
            <w:pPr>
              <w:jc w:val="left"/>
            </w:pPr>
            <w:r>
              <w:t>(96,2%)</w:t>
            </w:r>
          </w:p>
        </w:tc>
      </w:tr>
      <w:tr>
        <w:tc>
          <w:tcPr>
            <w:tcW w:type="dxa" w:w="1440"/>
            <w:noWrap/>
          </w:tcPr>
          <w:p>
            <w:r>
              <w:t>2</w:t>
            </w:r>
          </w:p>
        </w:tc>
        <w:tc>
          <w:tcPr>
            <w:tcW w:type="dxa" w:w="1440"/>
            <w:noWrap/>
          </w:tcPr>
          <w:p>
            <w:r>
              <w:t>Impulsión Sandia Baños 2-3-6-7 Fredo</w:t>
            </w:r>
          </w:p>
        </w:tc>
        <w:tc>
          <w:tcPr>
            <w:tcW w:type="dxa" w:w="1440"/>
            <w:noWrap/>
          </w:tcPr>
          <w:p>
            <w:r>
              <w:t>25.449,5</w:t>
            </w:r>
          </w:p>
        </w:tc>
        <w:tc>
          <w:tcPr>
            <w:tcW w:type="dxa" w:w="1440"/>
            <w:noWrap/>
          </w:tcPr>
          <w:p>
            <w:r>
              <w:t>0</w:t>
            </w:r>
          </w:p>
        </w:tc>
        <w:tc>
          <w:tcPr>
            <w:tcW w:type="dxa" w:w="1440"/>
            <w:noWrap/>
          </w:tcPr>
          <w:p>
            <w:pPr>
              <w:jc w:val="left"/>
            </w:pPr>
            <w:r>
              <w:t>6.114,6 m³</w:t>
            </w:r>
          </w:p>
          <w:p>
            <w:pPr>
              <w:jc w:val="left"/>
            </w:pPr>
            <w:r>
              <w:t>(28 días, 100%)</w:t>
            </w:r>
          </w:p>
        </w:tc>
        <w:tc>
          <w:tcPr>
            <w:tcW w:type="dxa" w:w="1440"/>
            <w:noWrap/>
          </w:tcPr>
          <w:p>
            <w:pPr>
              <w:jc w:val="left"/>
            </w:pPr>
            <w:r>
              <w:t>24.458,4 m³</w:t>
            </w:r>
          </w:p>
          <w:p>
            <w:pPr>
              <w:jc w:val="left"/>
            </w:pPr>
            <w:r>
              <w:t>(96,1%)</w:t>
            </w:r>
          </w:p>
        </w:tc>
      </w:tr>
      <w:tr>
        <w:tc>
          <w:tcPr>
            <w:tcW w:type="dxa" w:w="1440"/>
            <w:noWrap/>
          </w:tcPr>
          <w:p>
            <w:r>
              <w:t>3</w:t>
            </w:r>
          </w:p>
        </w:tc>
        <w:tc>
          <w:tcPr>
            <w:tcW w:type="dxa" w:w="1440"/>
            <w:noWrap/>
          </w:tcPr>
          <w:p>
            <w:r>
              <w:t>Impulsión Mall 1 Piso-4</w:t>
            </w:r>
          </w:p>
        </w:tc>
        <w:tc>
          <w:tcPr>
            <w:tcW w:type="dxa" w:w="1440"/>
            <w:noWrap/>
          </w:tcPr>
          <w:p>
            <w:r>
              <w:t>6.683,8</w:t>
            </w:r>
          </w:p>
        </w:tc>
        <w:tc>
          <w:tcPr>
            <w:tcW w:type="dxa" w:w="1440"/>
            <w:noWrap/>
          </w:tcPr>
          <w:p>
            <w:r>
              <w:t>9</w:t>
            </w:r>
          </w:p>
        </w:tc>
        <w:tc>
          <w:tcPr>
            <w:tcW w:type="dxa" w:w="1440"/>
            <w:noWrap/>
          </w:tcPr>
          <w:p>
            <w:pPr>
              <w:jc w:val="left"/>
            </w:pPr>
            <w:r>
              <w:t>1.019,8 m³</w:t>
            </w:r>
          </w:p>
          <w:p>
            <w:pPr>
              <w:jc w:val="left"/>
            </w:pPr>
            <w:r>
              <w:t>(28 días, 100%)</w:t>
            </w:r>
          </w:p>
        </w:tc>
        <w:tc>
          <w:tcPr>
            <w:tcW w:type="dxa" w:w="1440"/>
            <w:noWrap/>
          </w:tcPr>
          <w:p>
            <w:pPr>
              <w:jc w:val="left"/>
            </w:pPr>
            <w:r>
              <w:t>4.079,2 m³</w:t>
            </w:r>
          </w:p>
          <w:p>
            <w:pPr>
              <w:jc w:val="left"/>
            </w:pPr>
            <w:r>
              <w:t>(61%)</w:t>
            </w:r>
          </w:p>
        </w:tc>
      </w:tr>
      <w:tr>
        <w:tc>
          <w:tcPr>
            <w:tcW w:type="dxa" w:w="1440"/>
            <w:noWrap/>
          </w:tcPr>
          <w:p>
            <w:r>
              <w:t>4</w:t>
            </w:r>
          </w:p>
        </w:tc>
        <w:tc>
          <w:tcPr>
            <w:tcW w:type="dxa" w:w="1440"/>
            <w:noWrap/>
          </w:tcPr>
          <w:p>
            <w:r>
              <w:t>Impulsión Ander3-4 Matriz Principal</w:t>
            </w:r>
          </w:p>
        </w:tc>
        <w:tc>
          <w:tcPr>
            <w:tcW w:type="dxa" w:w="1440"/>
            <w:noWrap/>
          </w:tcPr>
          <w:p>
            <w:r>
              <w:t>5.499,4</w:t>
            </w:r>
          </w:p>
        </w:tc>
        <w:tc>
          <w:tcPr>
            <w:tcW w:type="dxa" w:w="1440"/>
            <w:noWrap/>
          </w:tcPr>
          <w:p>
            <w:r>
              <w:t>19</w:t>
            </w:r>
          </w:p>
        </w:tc>
        <w:tc>
          <w:tcPr>
            <w:tcW w:type="dxa" w:w="1440"/>
            <w:noWrap/>
          </w:tcPr>
          <w:p>
            <w:pPr>
              <w:jc w:val="left"/>
            </w:pPr>
            <w:r>
              <w:t>635,7 m³</w:t>
            </w:r>
          </w:p>
          <w:p>
            <w:pPr>
              <w:jc w:val="left"/>
            </w:pPr>
            <w:r>
              <w:t>(28 días, 100%)</w:t>
            </w:r>
          </w:p>
        </w:tc>
        <w:tc>
          <w:tcPr>
            <w:tcW w:type="dxa" w:w="1440"/>
            <w:noWrap/>
          </w:tcPr>
          <w:p>
            <w:pPr>
              <w:jc w:val="left"/>
            </w:pPr>
            <w:r>
              <w:t>2.542,8 m³</w:t>
            </w:r>
          </w:p>
          <w:p>
            <w:pPr>
              <w:jc w:val="left"/>
            </w:pPr>
            <w:r>
              <w:t>(46,2%)</w:t>
            </w:r>
          </w:p>
        </w:tc>
      </w:tr>
      <w:tr>
        <w:tc>
          <w:tcPr>
            <w:tcW w:type="dxa" w:w="1440"/>
            <w:noWrap/>
          </w:tcPr>
          <w:p>
            <w:r>
              <w:t>5</w:t>
            </w:r>
          </w:p>
        </w:tc>
        <w:tc>
          <w:tcPr>
            <w:tcW w:type="dxa" w:w="1440"/>
            <w:noWrap/>
          </w:tcPr>
          <w:p>
            <w:r>
              <w:t>Impulsión Ander3-4 Locales Gast.</w:t>
            </w:r>
          </w:p>
        </w:tc>
        <w:tc>
          <w:tcPr>
            <w:tcW w:type="dxa" w:w="1440"/>
            <w:noWrap/>
          </w:tcPr>
          <w:p>
            <w:r>
              <w:t>3.707,9</w:t>
            </w:r>
          </w:p>
        </w:tc>
        <w:tc>
          <w:tcPr>
            <w:tcW w:type="dxa" w:w="1440"/>
            <w:noWrap/>
          </w:tcPr>
          <w:p>
            <w:r>
              <w:t>15</w:t>
            </w:r>
          </w:p>
        </w:tc>
        <w:tc>
          <w:tcPr>
            <w:tcW w:type="dxa" w:w="1440"/>
            <w:noWrap/>
          </w:tcPr>
          <w:p>
            <w:pPr>
              <w:jc w:val="left"/>
            </w:pPr>
            <w:r>
              <w:t>281,2 m³</w:t>
            </w:r>
          </w:p>
          <w:p>
            <w:pPr>
              <w:jc w:val="left"/>
            </w:pPr>
            <w:r>
              <w:t>(28 días, 100%)</w:t>
            </w:r>
          </w:p>
        </w:tc>
        <w:tc>
          <w:tcPr>
            <w:tcW w:type="dxa" w:w="1440"/>
            <w:noWrap/>
          </w:tcPr>
          <w:p>
            <w:pPr>
              <w:jc w:val="left"/>
            </w:pPr>
            <w:r>
              <w:t>1.124,8 m³</w:t>
            </w:r>
          </w:p>
          <w:p>
            <w:pPr>
              <w:jc w:val="left"/>
            </w:pPr>
            <w:r>
              <w:t>(30,3%)</w:t>
            </w:r>
          </w:p>
        </w:tc>
      </w:tr>
      <w:tr>
        <w:tc>
          <w:tcPr>
            <w:tcW w:type="dxa" w:w="1440"/>
            <w:noWrap/>
          </w:tcPr>
          <w:p>
            <w:r>
              <w:t>6</w:t>
            </w:r>
          </w:p>
        </w:tc>
        <w:tc>
          <w:tcPr>
            <w:tcW w:type="dxa" w:w="1440"/>
            <w:noWrap/>
          </w:tcPr>
          <w:p>
            <w:r>
              <w:t>Impulsión Anden 3-4 Restaurante</w:t>
            </w:r>
          </w:p>
        </w:tc>
        <w:tc>
          <w:tcPr>
            <w:tcW w:type="dxa" w:w="1440"/>
            <w:noWrap/>
          </w:tcPr>
          <w:p>
            <w:r>
              <w:t>1.077,2</w:t>
            </w:r>
          </w:p>
        </w:tc>
        <w:tc>
          <w:tcPr>
            <w:tcW w:type="dxa" w:w="1440"/>
            <w:noWrap/>
          </w:tcPr>
          <w:p>
            <w:r>
              <w:t>1</w:t>
            </w:r>
          </w:p>
        </w:tc>
        <w:tc>
          <w:tcPr>
            <w:tcW w:type="dxa" w:w="1440"/>
            <w:noWrap/>
          </w:tcPr>
          <w:p>
            <w:pPr>
              <w:jc w:val="left"/>
            </w:pPr>
            <w:r>
              <w:t>290,1 m³</w:t>
            </w:r>
          </w:p>
          <w:p>
            <w:pPr>
              <w:jc w:val="left"/>
            </w:pPr>
            <w:r>
              <w:t>(28 días, 100%)</w:t>
            </w:r>
          </w:p>
        </w:tc>
        <w:tc>
          <w:tcPr>
            <w:tcW w:type="dxa" w:w="1440"/>
            <w:noWrap/>
          </w:tcPr>
          <w:p>
            <w:pPr>
              <w:jc w:val="left"/>
            </w:pPr>
            <w:r>
              <w:t>1.160,3 m³</w:t>
            </w:r>
          </w:p>
          <w:p>
            <w:pPr>
              <w:jc w:val="left"/>
            </w:pPr>
            <w:r>
              <w:t>(107,7%)</w:t>
            </w:r>
          </w:p>
        </w:tc>
      </w:tr>
      <w:tr>
        <w:tc>
          <w:tcPr>
            <w:tcW w:type="dxa" w:w="1440"/>
            <w:noWrap/>
          </w:tcPr>
          <w:p>
            <w:r>
              <w:t>7</w:t>
            </w:r>
          </w:p>
        </w:tc>
        <w:tc>
          <w:tcPr>
            <w:tcW w:type="dxa" w:w="1440"/>
            <w:noWrap/>
          </w:tcPr>
          <w:p>
            <w:r>
              <w:t>Llenado Pileta Cascada</w:t>
            </w:r>
          </w:p>
        </w:tc>
        <w:tc>
          <w:tcPr>
            <w:tcW w:type="dxa" w:w="1440"/>
            <w:noWrap/>
          </w:tcPr>
          <w:p>
            <w:r>
              <w:t>76</w:t>
            </w:r>
          </w:p>
        </w:tc>
        <w:tc>
          <w:tcPr>
            <w:tcW w:type="dxa" w:w="1440"/>
            <w:noWrap/>
          </w:tcPr>
          <w:p>
            <w:r>
              <w:t>31</w:t>
            </w:r>
          </w:p>
        </w:tc>
        <w:tc>
          <w:tcPr>
            <w:tcW w:type="dxa" w:w="1440"/>
            <w:noWrap/>
          </w:tcPr>
          <w:p>
            <w:pPr>
              <w:jc w:val="left"/>
            </w:pPr>
            <w:r>
              <w:t>17,8 m³</w:t>
            </w:r>
          </w:p>
          <w:p>
            <w:pPr>
              <w:jc w:val="left"/>
            </w:pPr>
            <w:r>
              <w:t>(28 días, 100%)</w:t>
            </w:r>
          </w:p>
        </w:tc>
        <w:tc>
          <w:tcPr>
            <w:tcW w:type="dxa" w:w="1440"/>
            <w:noWrap/>
          </w:tcPr>
          <w:p>
            <w:pPr>
              <w:jc w:val="left"/>
            </w:pPr>
            <w:r>
              <w:t>71,1 m³</w:t>
            </w:r>
          </w:p>
          <w:p>
            <w:pPr>
              <w:jc w:val="left"/>
            </w:pPr>
            <w:r>
              <w:t>(93,6%)</w:t>
            </w:r>
          </w:p>
        </w:tc>
      </w:tr>
      <w:tr>
        <w:tc>
          <w:tcPr>
            <w:tcW w:type="dxa" w:w="1440"/>
            <w:noWrap/>
          </w:tcPr>
          <w:p>
            <w:r>
              <w:t>8</w:t>
            </w:r>
          </w:p>
        </w:tc>
        <w:tc>
          <w:tcPr>
            <w:tcW w:type="dxa" w:w="1440"/>
            <w:noWrap/>
          </w:tcPr>
          <w:p>
            <w:r>
              <w:t>Llenado Pileta</w:t>
            </w:r>
          </w:p>
        </w:tc>
        <w:tc>
          <w:tcPr>
            <w:tcW w:type="dxa" w:w="1440"/>
            <w:noWrap/>
          </w:tcPr>
          <w:p>
            <w:r>
              <w:t>47,2</w:t>
            </w:r>
          </w:p>
        </w:tc>
        <w:tc>
          <w:tcPr>
            <w:tcW w:type="dxa" w:w="1440"/>
            <w:noWrap/>
          </w:tcPr>
          <w:p>
            <w:r>
              <w:t>29</w:t>
            </w:r>
          </w:p>
        </w:tc>
        <w:tc>
          <w:tcPr>
            <w:tcW w:type="dxa" w:w="1440"/>
            <w:noWrap/>
          </w:tcPr>
          <w:p>
            <w:pPr>
              <w:jc w:val="left"/>
            </w:pPr>
            <w:r>
              <w:t>2 m³</w:t>
            </w:r>
          </w:p>
          <w:p>
            <w:pPr>
              <w:jc w:val="left"/>
            </w:pPr>
            <w:r>
              <w:t>(28 días, 100%)</w:t>
            </w:r>
          </w:p>
        </w:tc>
        <w:tc>
          <w:tcPr>
            <w:tcW w:type="dxa" w:w="1440"/>
            <w:noWrap/>
          </w:tcPr>
          <w:p>
            <w:pPr>
              <w:jc w:val="left"/>
            </w:pPr>
            <w:r>
              <w:t>8 m³</w:t>
            </w:r>
          </w:p>
          <w:p>
            <w:pPr>
              <w:jc w:val="left"/>
            </w:pPr>
            <w:r>
              <w:t>(17%)</w:t>
            </w:r>
          </w:p>
        </w:tc>
      </w:tr>
      <w:tr>
        <w:tc>
          <w:tcPr>
            <w:tcW w:type="dxa" w:w="1440"/>
            <w:noWrap/>
          </w:tcPr>
          <w:p>
            <w:r>
              <w:t>9</w:t>
            </w:r>
          </w:p>
        </w:tc>
        <w:tc>
          <w:tcPr>
            <w:tcW w:type="dxa" w:w="1440"/>
            <w:noWrap/>
          </w:tcPr>
          <w:p>
            <w:r>
              <w:t>Baño N°5 Damas</w:t>
            </w:r>
          </w:p>
        </w:tc>
        <w:tc>
          <w:tcPr>
            <w:tcW w:type="dxa" w:w="1440"/>
            <w:noWrap/>
          </w:tcPr>
          <w:p>
            <w:r>
              <w:t>19,5</w:t>
            </w:r>
          </w:p>
        </w:tc>
        <w:tc>
          <w:tcPr>
            <w:tcW w:type="dxa" w:w="1440"/>
            <w:noWrap/>
          </w:tcPr>
          <w:p>
            <w:r>
              <w:t>25</w:t>
            </w:r>
          </w:p>
        </w:tc>
        <w:tc>
          <w:tcPr>
            <w:tcW w:type="dxa" w:w="1440"/>
            <w:noWrap/>
          </w:tcPr>
          <w:p>
            <w:pPr>
              <w:jc w:val="left"/>
            </w:pPr>
            <w:r>
              <w:t>0,2 m³</w:t>
            </w:r>
          </w:p>
          <w:p>
            <w:pPr>
              <w:jc w:val="left"/>
            </w:pPr>
            <w:r>
              <w:t>(8 días, 28,6%)</w:t>
            </w:r>
          </w:p>
        </w:tc>
        <w:tc>
          <w:tcPr>
            <w:tcW w:type="dxa" w:w="1440"/>
            <w:noWrap/>
          </w:tcPr>
          <w:p>
            <w:pPr>
              <w:jc w:val="left"/>
            </w:pPr>
            <w:r>
              <w:t>0,0 m³</w:t>
            </w:r>
          </w:p>
          <w:p>
            <w:pPr>
              <w:jc w:val="left"/>
            </w:pPr>
            <w:r>
              <w:t>(0,0%)</w:t>
            </w:r>
          </w:p>
        </w:tc>
      </w:tr>
      <w:tr>
        <w:tc>
          <w:tcPr>
            <w:tcW w:type="dxa" w:w="1440"/>
            <w:noWrap/>
          </w:tcPr>
          <w:p>
            <w:r>
              <w:t>10</w:t>
            </w:r>
          </w:p>
        </w:tc>
        <w:tc>
          <w:tcPr>
            <w:tcW w:type="dxa" w:w="1440"/>
            <w:noWrap/>
          </w:tcPr>
          <w:p>
            <w:r>
              <w:t>Baño N°6 Varones</w:t>
            </w:r>
          </w:p>
        </w:tc>
        <w:tc>
          <w:tcPr>
            <w:tcW w:type="dxa" w:w="1440"/>
            <w:noWrap/>
          </w:tcPr>
          <w:p>
            <w:r>
              <w:t>0,7</w:t>
            </w:r>
          </w:p>
        </w:tc>
        <w:tc>
          <w:tcPr>
            <w:tcW w:type="dxa" w:w="1440"/>
            <w:noWrap/>
          </w:tcPr>
          <w:p>
            <w:r>
              <w:t>5</w:t>
            </w:r>
          </w:p>
        </w:tc>
        <w:tc>
          <w:tcPr>
            <w:tcW w:type="dxa" w:w="1440"/>
            <w:noWrap/>
          </w:tcPr>
          <w:p>
            <w:pPr>
              <w:jc w:val="left"/>
            </w:pPr>
            <w:r>
              <w:t>0 m³</w:t>
            </w:r>
          </w:p>
          <w:p>
            <w:pPr>
              <w:jc w:val="left"/>
            </w:pPr>
            <w:r>
              <w:t>(1 días, 3,6%)</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70.864,6</w:t>
            </w:r>
          </w:p>
        </w:tc>
        <w:tc>
          <w:tcPr>
            <w:tcW w:type="dxa" w:w="1440"/>
            <w:noWrap/>
            <w:shd w:val="clear" w:fill="FFE6E6"/>
          </w:tcPr>
          <w:p>
            <w:pPr>
              <w:jc w:val="left"/>
            </w:pPr>
            <w:r>
              <w:rPr>
                <w:b/>
                <w:color w:val="FF0000"/>
              </w:rPr>
              <w:t>135</w:t>
            </w:r>
          </w:p>
        </w:tc>
        <w:tc>
          <w:tcPr>
            <w:tcW w:type="dxa" w:w="1440"/>
            <w:noWrap/>
            <w:shd w:val="clear" w:fill="FFE6E6"/>
          </w:tcPr>
          <w:p>
            <w:pPr>
              <w:jc w:val="left"/>
            </w:pPr>
            <w:r>
              <w:rPr>
                <w:b/>
                <w:color w:val="FF0000"/>
              </w:rPr>
              <w:t>15.171,1 m³</w:t>
            </w:r>
          </w:p>
        </w:tc>
        <w:tc>
          <w:tcPr>
            <w:tcW w:type="dxa" w:w="1440"/>
            <w:noWrap/>
            <w:shd w:val="clear" w:fill="FFE6E6"/>
          </w:tcPr>
          <w:p>
            <w:pPr>
              <w:jc w:val="left"/>
            </w:pPr>
            <w:r>
              <w:rPr>
                <w:b/>
                <w:color w:val="FF0000"/>
              </w:rPr>
              <w:t>60.683,4 m³</w:t>
            </w:r>
          </w:p>
        </w:tc>
      </w:tr>
    </w:tbl>
    <w:p/>
    <w:p>
      <w:pPr>
        <w:keepNext/>
        <w:widowControl/>
        <w:spacing w:after="60"/>
        <w:jc w:val="center"/>
      </w:pPr>
      <w:r>
        <w:drawing>
          <wp:inline xmlns:a="http://schemas.openxmlformats.org/drawingml/2006/main" xmlns:pic="http://schemas.openxmlformats.org/drawingml/2006/picture">
            <wp:extent cx="5486400" cy="3442447"/>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42447"/>
                    </a:xfrm>
                    <a:prstGeom prst="rect"/>
                  </pic:spPr>
                </pic:pic>
              </a:graphicData>
            </a:graphic>
          </wp:inline>
        </w:drawing>
      </w:r>
    </w:p>
    <w:p/>
    <w:p>
      <w:pPr>
        <w:keepNext/>
        <w:widowControl/>
        <w:spacing w:after="60"/>
      </w:pPr>
      <w:r>
        <w:rPr>
          <w:b/>
          <w:color w:val="003366"/>
        </w:rPr>
        <w:t>DÍA CON MAYOR CONSUMO NOCTURNO - LLENADO PILETA (18-02-26):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23.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Llenado Pileta registró 29 alerta(s) durante 27 día(s) del periodo analizado. La periodicidad de las alertas es frecuente (más del 80% de los días). Se identificó una proyección de filtración de 8 m³ ($10.026), lo que indica un patrón de fuga constante durante el periodo.</w:t>
      </w:r>
    </w:p>
    <w:p/>
    <w:p>
      <w:pPr>
        <w:keepNext/>
        <w:widowControl/>
        <w:spacing w:after="60"/>
      </w:pPr>
      <w:r>
        <w:rPr>
          <w:b/>
          <w:color w:val="003366"/>
        </w:rPr>
        <w:t>DÍA CON MAYOR CONSUMO NOCTURNO - LLENADO PILETA CASCADA (08-02-26):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24.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Llenado Pileta Cascada registró 31 alerta(s) durante 26 día(s) del periodo analizado. La periodicidad de las alertas es frecuente (más del 80% de los días). Se identificó una proyección de filtración de 71,1 m³ ($88.637), lo que indica un patrón de fuga constante durante el periodo.</w:t>
      </w:r>
    </w:p>
    <w:p/>
    <w:p>
      <w:pPr>
        <w:keepNext/>
        <w:widowControl/>
        <w:spacing w:after="60"/>
      </w:pPr>
      <w:r>
        <w:rPr>
          <w:b/>
          <w:color w:val="003366"/>
        </w:rPr>
        <w:t>DÍA CON MAYOR CONSUMO NOCTURNO - BAÑO N°5 DAMAS (13-02-26):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25.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Baño N°5 Damas registró 25 alerta(s) durante 22 día(s) del periodo analizado. La periodicidad de las alertas es regular (más del 50% de los días).</w:t>
      </w:r>
    </w:p>
    <w:p/>
    <w:p>
      <w:pPr>
        <w:keepNext/>
        <w:widowControl/>
        <w:spacing w:after="60"/>
      </w:pPr>
      <w:r>
        <w:rPr>
          <w:b/>
          <w:color w:val="003366"/>
        </w:rPr>
        <w:t>DÍA CON MAYOR CONSUMO NOCTURNO - DISTRITO DE LUJO DL (09-02-26):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5_27.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Distrito de lujo DL registró 1 alerta(s) durante 1 día(s) del periodo analizado. La periodicidad de las alertas es puntual (menos del 20% de los días). Se identificó una proyección de filtración de 27.238,8 m³ ($33.966.784), lo que indica un patrón de fuga constante durante el periodo.</w:t>
      </w:r>
    </w:p>
    <w:p/>
    <w:p>
      <w:pPr>
        <w:keepNext/>
        <w:widowControl/>
        <w:spacing w:after="60"/>
      </w:pPr>
      <w:r>
        <w:rPr>
          <w:b/>
          <w:color w:val="003366"/>
        </w:rPr>
        <w:t>DÍA CON MAYOR CONSUMO NOCTURNO - BAÑO N°6 VARONES (11-02-26):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5_26.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Baño N°6 Varones registró 5 alerta(s) durante 5 día(s) del periodo analizado. La periodicidad de las alertas es puntual (menos del 20% de los días).</w:t>
      </w:r>
    </w:p>
    <w:p/>
    <w:p>
      <w:pPr>
        <w:keepNext/>
        <w:widowControl/>
        <w:spacing w:after="60"/>
      </w:pPr>
      <w:r>
        <w:rPr>
          <w:b/>
          <w:color w:val="003366"/>
        </w:rPr>
        <w:t>DÍA CON MAYOR CONSUMO NOCTURNO - IMPULSIÓN MALL 1 PISO-4 (04-02-26):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25_2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Impulsión Mall 1 Piso-4 registró 9 alerta(s) durante 7 día(s) del periodo analizado. La periodicidad de las alertas es intermitente (más del 20% de los días). Se identificó una proyección de filtración de 4.079,2 m³ ($5.086.762), lo que indica un patrón de fuga constante durante el periodo.</w:t>
      </w:r>
    </w:p>
    <w:p/>
    <w:p>
      <w:pPr>
        <w:keepNext/>
        <w:widowControl/>
        <w:spacing w:after="60"/>
      </w:pPr>
      <w:r>
        <w:rPr>
          <w:b/>
          <w:color w:val="003366"/>
        </w:rPr>
        <w:t>DÍA CON MAYOR CONSUMO NOCTURNO - IMPULSIÓN ANDEN 3-4 RESTAURANTE (05-02-26):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25_29.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Impulsión Anden 3-4 Restaurante registró 1 alerta(s) durante 1 día(s) del periodo analizado. La periodicidad de las alertas es puntual (menos del 20% de los días). Se identificó una proyección de filtración de 1.160,3 m³ ($1.446.919), lo que indica un patrón de fuga constante durante el periodo.</w:t>
      </w:r>
    </w:p>
    <w:p/>
    <w:p>
      <w:pPr>
        <w:keepNext/>
        <w:widowControl/>
        <w:spacing w:after="60"/>
      </w:pPr>
      <w:r>
        <w:rPr>
          <w:b/>
          <w:color w:val="003366"/>
        </w:rPr>
        <w:t>DÍA CON MAYOR CONSUMO NOCTURNO - IMPULSIÓN ANDER3-4 MATRIZ PRINCIPAL (17-02-26):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25_20.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Impulsión Ander3-4 Matriz Principal registró 19 alerta(s) durante 16 día(s) del periodo analizado. La periodicidad de las alertas es regular (más del 50% de los días). Se identificó una proyección de filtración de 2.542,8 m³ ($3.170.872), lo que indica un patrón de fuga constante durante el periodo.</w:t>
      </w:r>
    </w:p>
    <w:p/>
    <w:p>
      <w:pPr>
        <w:keepNext/>
        <w:widowControl/>
        <w:spacing w:after="60"/>
      </w:pPr>
      <w:r>
        <w:rPr>
          <w:b/>
          <w:color w:val="003366"/>
        </w:rPr>
        <w:t>DÍA CON MAYOR CONSUMO NOCTURNO - IMPULSIÓN ANDER3-4 LOCALES GAST. (06-02-26):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25_21.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Impulsión Ander3-4 Locales Gast. registró 15 alerta(s) durante 12 día(s) del periodo analizado. La periodicidad de las alertas es intermitente (más del 20% de los días). Se identificó una proyección de filtración de 1.124,8 m³ ($1.402.626),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2" name="Picture 12"/>
            <wp:cNvGraphicFramePr>
              <a:graphicFrameLocks noChangeAspect="1"/>
            </wp:cNvGraphicFramePr>
            <a:graphic>
              <a:graphicData uri="http://schemas.openxmlformats.org/drawingml/2006/picture">
                <pic:pic>
                  <pic:nvPicPr>
                    <pic:cNvPr id="0" name="chart_comparacion_mensual_agregada.png"/>
                    <pic:cNvPicPr/>
                  </pic:nvPicPr>
                  <pic:blipFill>
                    <a:blip r:embed="rId21"/>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Distrito de lujo DL, Impulsión Sandia Baños 2-3-6-7 Fredo, Impulsión Mall 1 Piso-4, Impulsión Ander3-4 Matriz Principal, Impulsión Ander3-4 Locales Gast., Impulsión Anden 3-4 Restaurante, Llenado Pileta Cascada y Llenado Pileta.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