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Kennedy</w:t>
      </w:r>
    </w:p>
    <w:p>
      <w:pPr>
        <w:jc w:val="center"/>
      </w:pPr>
      <w:r>
        <w:t>MONITOREO WES</w:t>
        <w:br/>
        <w:t>Análisis consolidado de 12 puntos de monitoreo</w:t>
        <w:br/>
        <w:t>Rango: 02-02-26 - 31-03-26</w:t>
        <w:br/>
        <w:t>Generado: 31-03-26 22:12</w:t>
      </w:r>
    </w:p>
    <w:p>
      <w:pPr>
        <w:pStyle w:val="Heading1"/>
        <w:keepNext/>
        <w:widowControl/>
        <w:spacing w:after="60"/>
      </w:pPr>
      <w:r>
        <w:rPr>
          <w:b/>
          <w:color w:val="003366"/>
        </w:rPr>
        <w:t>RESUMEN EJECUTIVO AGREGADO</w:t>
      </w:r>
    </w:p>
    <w:p>
      <w:r>
        <w:t>Puntos de monitoreo analizados: 12.</w:t>
        <w:br/>
      </w:r>
      <w:r>
        <w:t>Consumo total agregado: 123.123,7 m³.</w:t>
        <w:br/>
      </w:r>
      <w:r>
        <w:t>Consumo promedio por punto: 10.260,3 m³.</w:t>
        <w:br/>
      </w:r>
      <w:r>
        <w:t>Total de alertas registradas: 265.</w:t>
        <w:br/>
      </w:r>
      <w:r>
        <w:t>Promedio de alerta agregado: 14 m³/h.</w:t>
        <w:br/>
      </w:r>
      <w:r>
        <w:t>Proyección diaria de consumo nocturno agregada: 334,9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53648"/>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53648"/>
                    </a:xfrm>
                    <a:prstGeom prst="rect"/>
                  </pic:spPr>
                </pic:pic>
              </a:graphicData>
            </a:graphic>
          </wp:inline>
        </w:drawing>
      </w:r>
    </w:p>
    <w:p/>
    <w:p>
      <w:pPr>
        <w:jc w:val="both"/>
      </w:pPr>
      <w:r>
        <w:rPr>
          <w:color w:val="000000"/>
        </w:rPr>
        <w:t>El análisis comparativo revela que el punto con mayor consumo es Distrito de lujo DL, con un total de 45.508,5 m³ durante el periodo analizado. Este valor representa un 343,5% por encima del promedio (10.260,3 m³ por punto), indicando una demanda significativamente superior a la media. Por otro lado, el punto con menor consumo es Baño N°6 Varones, con un total de 2,4 m³. Este valor representa un 100% por debajo del promedio, mostrando una demanda significativamente inferior. La diferencia entre el punto de mayor y menor consumo es considerable, siendo el consumo máximo aproximadamente 19.041,2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24"/>
        <w:gridCol w:w="1919"/>
        <w:gridCol w:w="1050"/>
        <w:gridCol w:w="1050"/>
        <w:gridCol w:w="1439"/>
        <w:gridCol w:w="127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Distrito de lujo DL</w:t>
            </w:r>
          </w:p>
        </w:tc>
        <w:tc>
          <w:tcPr>
            <w:tcW w:type="dxa" w:w="1440"/>
            <w:noWrap/>
          </w:tcPr>
          <w:p>
            <w:r>
              <w:t>45.508,5</w:t>
            </w:r>
          </w:p>
        </w:tc>
        <w:tc>
          <w:tcPr>
            <w:tcW w:type="dxa" w:w="1440"/>
            <w:noWrap/>
          </w:tcPr>
          <w:p>
            <w:r>
              <w:t>1</w:t>
            </w:r>
          </w:p>
        </w:tc>
        <w:tc>
          <w:tcPr>
            <w:tcW w:type="dxa" w:w="1440"/>
            <w:noWrap/>
          </w:tcPr>
          <w:p>
            <w:pPr>
              <w:jc w:val="left"/>
            </w:pPr>
            <w:r>
              <w:t>11.232,5 m³</w:t>
            </w:r>
          </w:p>
          <w:p>
            <w:pPr>
              <w:jc w:val="left"/>
            </w:pPr>
            <w:r>
              <w:t>(58 días, 100%)</w:t>
            </w:r>
          </w:p>
        </w:tc>
        <w:tc>
          <w:tcPr>
            <w:tcW w:type="dxa" w:w="1440"/>
            <w:noWrap/>
          </w:tcPr>
          <w:p>
            <w:pPr>
              <w:jc w:val="left"/>
            </w:pPr>
            <w:r>
              <w:t>44.930 m³</w:t>
            </w:r>
          </w:p>
          <w:p>
            <w:pPr>
              <w:jc w:val="left"/>
            </w:pPr>
            <w:r>
              <w:t>(98,7%)</w:t>
            </w:r>
          </w:p>
        </w:tc>
      </w:tr>
      <w:tr>
        <w:tc>
          <w:tcPr>
            <w:tcW w:type="dxa" w:w="1440"/>
            <w:noWrap/>
          </w:tcPr>
          <w:p>
            <w:r>
              <w:t>2</w:t>
            </w:r>
          </w:p>
        </w:tc>
        <w:tc>
          <w:tcPr>
            <w:tcW w:type="dxa" w:w="1440"/>
            <w:noWrap/>
          </w:tcPr>
          <w:p>
            <w:r>
              <w:t>Impulsión Sandia Baños 2-3-6-7 Fredo</w:t>
            </w:r>
          </w:p>
        </w:tc>
        <w:tc>
          <w:tcPr>
            <w:tcW w:type="dxa" w:w="1440"/>
            <w:noWrap/>
          </w:tcPr>
          <w:p>
            <w:r>
              <w:t>41.060,9</w:t>
            </w:r>
          </w:p>
        </w:tc>
        <w:tc>
          <w:tcPr>
            <w:tcW w:type="dxa" w:w="1440"/>
            <w:noWrap/>
          </w:tcPr>
          <w:p>
            <w:r>
              <w:t>2</w:t>
            </w:r>
          </w:p>
        </w:tc>
        <w:tc>
          <w:tcPr>
            <w:tcW w:type="dxa" w:w="1440"/>
            <w:noWrap/>
          </w:tcPr>
          <w:p>
            <w:pPr>
              <w:jc w:val="left"/>
            </w:pPr>
            <w:r>
              <w:t>10.061,7 m³</w:t>
            </w:r>
          </w:p>
          <w:p>
            <w:pPr>
              <w:jc w:val="left"/>
            </w:pPr>
            <w:r>
              <w:t>(58 días, 100%)</w:t>
            </w:r>
          </w:p>
        </w:tc>
        <w:tc>
          <w:tcPr>
            <w:tcW w:type="dxa" w:w="1440"/>
            <w:noWrap/>
          </w:tcPr>
          <w:p>
            <w:pPr>
              <w:jc w:val="left"/>
            </w:pPr>
            <w:r>
              <w:t>40.246,8 m³</w:t>
            </w:r>
          </w:p>
          <w:p>
            <w:pPr>
              <w:jc w:val="left"/>
            </w:pPr>
            <w:r>
              <w:t>(98%)</w:t>
            </w:r>
          </w:p>
        </w:tc>
      </w:tr>
      <w:tr>
        <w:tc>
          <w:tcPr>
            <w:tcW w:type="dxa" w:w="1440"/>
            <w:noWrap/>
          </w:tcPr>
          <w:p>
            <w:r>
              <w:t>3</w:t>
            </w:r>
          </w:p>
        </w:tc>
        <w:tc>
          <w:tcPr>
            <w:tcW w:type="dxa" w:w="1440"/>
            <w:noWrap/>
          </w:tcPr>
          <w:p>
            <w:r>
              <w:t>Impulsión Mall 1 Piso-4</w:t>
            </w:r>
          </w:p>
        </w:tc>
        <w:tc>
          <w:tcPr>
            <w:tcW w:type="dxa" w:w="1440"/>
            <w:noWrap/>
          </w:tcPr>
          <w:p>
            <w:r>
              <w:t>15.568,5</w:t>
            </w:r>
          </w:p>
        </w:tc>
        <w:tc>
          <w:tcPr>
            <w:tcW w:type="dxa" w:w="1440"/>
            <w:noWrap/>
          </w:tcPr>
          <w:p>
            <w:r>
              <w:t>23</w:t>
            </w:r>
          </w:p>
        </w:tc>
        <w:tc>
          <w:tcPr>
            <w:tcW w:type="dxa" w:w="1440"/>
            <w:noWrap/>
          </w:tcPr>
          <w:p>
            <w:pPr>
              <w:jc w:val="left"/>
            </w:pPr>
            <w:r>
              <w:t>2.599,9 m³</w:t>
            </w:r>
          </w:p>
          <w:p>
            <w:pPr>
              <w:jc w:val="left"/>
            </w:pPr>
            <w:r>
              <w:t>(58 días, 100%)</w:t>
            </w:r>
          </w:p>
        </w:tc>
        <w:tc>
          <w:tcPr>
            <w:tcW w:type="dxa" w:w="1440"/>
            <w:noWrap/>
          </w:tcPr>
          <w:p>
            <w:pPr>
              <w:jc w:val="left"/>
            </w:pPr>
            <w:r>
              <w:t>10.399,6 m³</w:t>
            </w:r>
          </w:p>
          <w:p>
            <w:pPr>
              <w:jc w:val="left"/>
            </w:pPr>
            <w:r>
              <w:t>(66,8%)</w:t>
            </w:r>
          </w:p>
        </w:tc>
      </w:tr>
      <w:tr>
        <w:tc>
          <w:tcPr>
            <w:tcW w:type="dxa" w:w="1440"/>
            <w:noWrap/>
          </w:tcPr>
          <w:p>
            <w:r>
              <w:t>4</w:t>
            </w:r>
          </w:p>
        </w:tc>
        <w:tc>
          <w:tcPr>
            <w:tcW w:type="dxa" w:w="1440"/>
            <w:noWrap/>
          </w:tcPr>
          <w:p>
            <w:r>
              <w:t>Impulsión Ander3-4 Matriz Principal</w:t>
            </w:r>
          </w:p>
        </w:tc>
        <w:tc>
          <w:tcPr>
            <w:tcW w:type="dxa" w:w="1440"/>
            <w:noWrap/>
          </w:tcPr>
          <w:p>
            <w:r>
              <w:t>10.869,5</w:t>
            </w:r>
          </w:p>
        </w:tc>
        <w:tc>
          <w:tcPr>
            <w:tcW w:type="dxa" w:w="1440"/>
            <w:noWrap/>
          </w:tcPr>
          <w:p>
            <w:r>
              <w:t>38</w:t>
            </w:r>
          </w:p>
        </w:tc>
        <w:tc>
          <w:tcPr>
            <w:tcW w:type="dxa" w:w="1440"/>
            <w:noWrap/>
          </w:tcPr>
          <w:p>
            <w:pPr>
              <w:jc w:val="left"/>
            </w:pPr>
            <w:r>
              <w:t>1.297 m³</w:t>
            </w:r>
          </w:p>
          <w:p>
            <w:pPr>
              <w:jc w:val="left"/>
            </w:pPr>
            <w:r>
              <w:t>(58 días, 100%)</w:t>
            </w:r>
          </w:p>
        </w:tc>
        <w:tc>
          <w:tcPr>
            <w:tcW w:type="dxa" w:w="1440"/>
            <w:noWrap/>
          </w:tcPr>
          <w:p>
            <w:pPr>
              <w:jc w:val="left"/>
            </w:pPr>
            <w:r>
              <w:t>5.188 m³</w:t>
            </w:r>
          </w:p>
          <w:p>
            <w:pPr>
              <w:jc w:val="left"/>
            </w:pPr>
            <w:r>
              <w:t>(47,7%)</w:t>
            </w:r>
          </w:p>
        </w:tc>
      </w:tr>
      <w:tr>
        <w:tc>
          <w:tcPr>
            <w:tcW w:type="dxa" w:w="1440"/>
            <w:noWrap/>
          </w:tcPr>
          <w:p>
            <w:r>
              <w:t>5</w:t>
            </w:r>
          </w:p>
        </w:tc>
        <w:tc>
          <w:tcPr>
            <w:tcW w:type="dxa" w:w="1440"/>
            <w:noWrap/>
          </w:tcPr>
          <w:p>
            <w:r>
              <w:t>Impulsión Ander3-4 Locales Gast.</w:t>
            </w:r>
          </w:p>
        </w:tc>
        <w:tc>
          <w:tcPr>
            <w:tcW w:type="dxa" w:w="1440"/>
            <w:noWrap/>
          </w:tcPr>
          <w:p>
            <w:r>
              <w:t>7.438,4</w:t>
            </w:r>
          </w:p>
        </w:tc>
        <w:tc>
          <w:tcPr>
            <w:tcW w:type="dxa" w:w="1440"/>
            <w:noWrap/>
          </w:tcPr>
          <w:p>
            <w:r>
              <w:t>28</w:t>
            </w:r>
          </w:p>
        </w:tc>
        <w:tc>
          <w:tcPr>
            <w:tcW w:type="dxa" w:w="1440"/>
            <w:noWrap/>
          </w:tcPr>
          <w:p>
            <w:pPr>
              <w:jc w:val="left"/>
            </w:pPr>
            <w:r>
              <w:t>535,4 m³</w:t>
            </w:r>
          </w:p>
          <w:p>
            <w:pPr>
              <w:jc w:val="left"/>
            </w:pPr>
            <w:r>
              <w:t>(58 días, 100%)</w:t>
            </w:r>
          </w:p>
        </w:tc>
        <w:tc>
          <w:tcPr>
            <w:tcW w:type="dxa" w:w="1440"/>
            <w:noWrap/>
          </w:tcPr>
          <w:p>
            <w:pPr>
              <w:jc w:val="left"/>
            </w:pPr>
            <w:r>
              <w:t>2.141,6 m³</w:t>
            </w:r>
          </w:p>
          <w:p>
            <w:pPr>
              <w:jc w:val="left"/>
            </w:pPr>
            <w:r>
              <w:t>(28,8%)</w:t>
            </w:r>
          </w:p>
        </w:tc>
      </w:tr>
      <w:tr>
        <w:tc>
          <w:tcPr>
            <w:tcW w:type="dxa" w:w="1440"/>
            <w:noWrap/>
          </w:tcPr>
          <w:p>
            <w:r>
              <w:t>6</w:t>
            </w:r>
          </w:p>
        </w:tc>
        <w:tc>
          <w:tcPr>
            <w:tcW w:type="dxa" w:w="1440"/>
            <w:noWrap/>
          </w:tcPr>
          <w:p>
            <w:r>
              <w:t>Impulsión Anden 3-4 Restaurante</w:t>
            </w:r>
          </w:p>
        </w:tc>
        <w:tc>
          <w:tcPr>
            <w:tcW w:type="dxa" w:w="1440"/>
            <w:noWrap/>
          </w:tcPr>
          <w:p>
            <w:r>
              <w:t>2.107,7</w:t>
            </w:r>
          </w:p>
        </w:tc>
        <w:tc>
          <w:tcPr>
            <w:tcW w:type="dxa" w:w="1440"/>
            <w:noWrap/>
          </w:tcPr>
          <w:p>
            <w:r>
              <w:t>3</w:t>
            </w:r>
          </w:p>
        </w:tc>
        <w:tc>
          <w:tcPr>
            <w:tcW w:type="dxa" w:w="1440"/>
            <w:noWrap/>
          </w:tcPr>
          <w:p>
            <w:pPr>
              <w:jc w:val="left"/>
            </w:pPr>
            <w:r>
              <w:t>547,7 m³</w:t>
            </w:r>
          </w:p>
          <w:p>
            <w:pPr>
              <w:jc w:val="left"/>
            </w:pPr>
            <w:r>
              <w:t>(58 días, 100%)</w:t>
            </w:r>
          </w:p>
        </w:tc>
        <w:tc>
          <w:tcPr>
            <w:tcW w:type="dxa" w:w="1440"/>
            <w:noWrap/>
          </w:tcPr>
          <w:p>
            <w:pPr>
              <w:jc w:val="left"/>
            </w:pPr>
            <w:r>
              <w:t>2.190,6 m³</w:t>
            </w:r>
          </w:p>
          <w:p>
            <w:pPr>
              <w:jc w:val="left"/>
            </w:pPr>
            <w:r>
              <w:t>(103,9%)</w:t>
            </w:r>
          </w:p>
        </w:tc>
      </w:tr>
      <w:tr>
        <w:tc>
          <w:tcPr>
            <w:tcW w:type="dxa" w:w="1440"/>
            <w:noWrap/>
          </w:tcPr>
          <w:p>
            <w:r>
              <w:t>7</w:t>
            </w:r>
          </w:p>
        </w:tc>
        <w:tc>
          <w:tcPr>
            <w:tcW w:type="dxa" w:w="1440"/>
            <w:noWrap/>
          </w:tcPr>
          <w:p>
            <w:r>
              <w:t>PAK BAZAR GOURMET</w:t>
            </w:r>
          </w:p>
        </w:tc>
        <w:tc>
          <w:tcPr>
            <w:tcW w:type="dxa" w:w="1440"/>
            <w:noWrap/>
          </w:tcPr>
          <w:p>
            <w:r>
              <w:t>249,9</w:t>
            </w:r>
          </w:p>
        </w:tc>
        <w:tc>
          <w:tcPr>
            <w:tcW w:type="dxa" w:w="1440"/>
            <w:noWrap/>
          </w:tcPr>
          <w:p>
            <w:r>
              <w:t>0</w:t>
            </w:r>
          </w:p>
        </w:tc>
        <w:tc>
          <w:tcPr>
            <w:tcW w:type="dxa" w:w="1440"/>
            <w:noWrap/>
          </w:tcPr>
          <w:p>
            <w:pPr>
              <w:jc w:val="left"/>
            </w:pPr>
            <w:r>
              <w:t>41,5 m³</w:t>
            </w:r>
          </w:p>
          <w:p>
            <w:pPr>
              <w:jc w:val="left"/>
            </w:pPr>
            <w:r>
              <w:t>(1 días, 1,7%)</w:t>
            </w:r>
          </w:p>
        </w:tc>
        <w:tc>
          <w:tcPr>
            <w:tcW w:type="dxa" w:w="1440"/>
            <w:noWrap/>
          </w:tcPr>
          <w:p>
            <w:pPr>
              <w:jc w:val="left"/>
            </w:pPr>
            <w:r>
              <w:t>0,0 m³</w:t>
            </w:r>
          </w:p>
          <w:p>
            <w:pPr>
              <w:jc w:val="left"/>
            </w:pPr>
            <w:r>
              <w:t>(0,0%)</w:t>
            </w:r>
          </w:p>
        </w:tc>
      </w:tr>
      <w:tr>
        <w:tc>
          <w:tcPr>
            <w:tcW w:type="dxa" w:w="1440"/>
            <w:noWrap/>
          </w:tcPr>
          <w:p>
            <w:r>
              <w:t>8</w:t>
            </w:r>
          </w:p>
        </w:tc>
        <w:tc>
          <w:tcPr>
            <w:tcW w:type="dxa" w:w="1440"/>
            <w:noWrap/>
          </w:tcPr>
          <w:p>
            <w:r>
              <w:t>Llenado Pileta</w:t>
            </w:r>
          </w:p>
        </w:tc>
        <w:tc>
          <w:tcPr>
            <w:tcW w:type="dxa" w:w="1440"/>
            <w:noWrap/>
          </w:tcPr>
          <w:p>
            <w:r>
              <w:t>160,4</w:t>
            </w:r>
          </w:p>
        </w:tc>
        <w:tc>
          <w:tcPr>
            <w:tcW w:type="dxa" w:w="1440"/>
            <w:noWrap/>
          </w:tcPr>
          <w:p>
            <w:r>
              <w:t>44</w:t>
            </w:r>
          </w:p>
        </w:tc>
        <w:tc>
          <w:tcPr>
            <w:tcW w:type="dxa" w:w="1440"/>
            <w:noWrap/>
          </w:tcPr>
          <w:p>
            <w:pPr>
              <w:jc w:val="left"/>
            </w:pPr>
            <w:r>
              <w:t>3,1 m³</w:t>
            </w:r>
          </w:p>
          <w:p>
            <w:pPr>
              <w:jc w:val="left"/>
            </w:pPr>
            <w:r>
              <w:t>(58 días, 100%)</w:t>
            </w:r>
          </w:p>
        </w:tc>
        <w:tc>
          <w:tcPr>
            <w:tcW w:type="dxa" w:w="1440"/>
            <w:noWrap/>
          </w:tcPr>
          <w:p>
            <w:pPr>
              <w:jc w:val="left"/>
            </w:pPr>
            <w:r>
              <w:t>12,5 m³</w:t>
            </w:r>
          </w:p>
          <w:p>
            <w:pPr>
              <w:jc w:val="left"/>
            </w:pPr>
            <w:r>
              <w:t>(7,8%)</w:t>
            </w:r>
          </w:p>
        </w:tc>
      </w:tr>
      <w:tr>
        <w:tc>
          <w:tcPr>
            <w:tcW w:type="dxa" w:w="1440"/>
            <w:noWrap/>
          </w:tcPr>
          <w:p>
            <w:r>
              <w:t>9</w:t>
            </w:r>
          </w:p>
        </w:tc>
        <w:tc>
          <w:tcPr>
            <w:tcW w:type="dxa" w:w="1440"/>
            <w:noWrap/>
          </w:tcPr>
          <w:p>
            <w:r>
              <w:t>Llenado Pileta Cascada</w:t>
            </w:r>
          </w:p>
        </w:tc>
        <w:tc>
          <w:tcPr>
            <w:tcW w:type="dxa" w:w="1440"/>
            <w:noWrap/>
          </w:tcPr>
          <w:p>
            <w:r>
              <w:t>112,5</w:t>
            </w:r>
          </w:p>
        </w:tc>
        <w:tc>
          <w:tcPr>
            <w:tcW w:type="dxa" w:w="1440"/>
            <w:noWrap/>
          </w:tcPr>
          <w:p>
            <w:r>
              <w:t>62</w:t>
            </w:r>
          </w:p>
        </w:tc>
        <w:tc>
          <w:tcPr>
            <w:tcW w:type="dxa" w:w="1440"/>
            <w:noWrap/>
          </w:tcPr>
          <w:p>
            <w:pPr>
              <w:jc w:val="left"/>
            </w:pPr>
            <w:r>
              <w:t>28,5 m³</w:t>
            </w:r>
          </w:p>
          <w:p>
            <w:pPr>
              <w:jc w:val="left"/>
            </w:pPr>
            <w:r>
              <w:t>(58 días, 100%)</w:t>
            </w:r>
          </w:p>
        </w:tc>
        <w:tc>
          <w:tcPr>
            <w:tcW w:type="dxa" w:w="1440"/>
            <w:noWrap/>
          </w:tcPr>
          <w:p>
            <w:pPr>
              <w:jc w:val="left"/>
            </w:pPr>
            <w:r>
              <w:t>114,1 m³</w:t>
            </w:r>
          </w:p>
          <w:p>
            <w:pPr>
              <w:jc w:val="left"/>
            </w:pPr>
            <w:r>
              <w:t>(101,4%)</w:t>
            </w:r>
          </w:p>
        </w:tc>
      </w:tr>
      <w:tr>
        <w:tc>
          <w:tcPr>
            <w:tcW w:type="dxa" w:w="1440"/>
            <w:noWrap/>
          </w:tcPr>
          <w:p>
            <w:r>
              <w:t>10</w:t>
            </w:r>
          </w:p>
        </w:tc>
        <w:tc>
          <w:tcPr>
            <w:tcW w:type="dxa" w:w="1440"/>
            <w:noWrap/>
          </w:tcPr>
          <w:p>
            <w:r>
              <w:t>Baño N°5 Damas</w:t>
            </w:r>
          </w:p>
        </w:tc>
        <w:tc>
          <w:tcPr>
            <w:tcW w:type="dxa" w:w="1440"/>
            <w:noWrap/>
          </w:tcPr>
          <w:p>
            <w:r>
              <w:t>27,7</w:t>
            </w:r>
          </w:p>
        </w:tc>
        <w:tc>
          <w:tcPr>
            <w:tcW w:type="dxa" w:w="1440"/>
            <w:noWrap/>
          </w:tcPr>
          <w:p>
            <w:r>
              <w:t>52</w:t>
            </w:r>
          </w:p>
        </w:tc>
        <w:tc>
          <w:tcPr>
            <w:tcW w:type="dxa" w:w="1440"/>
            <w:noWrap/>
          </w:tcPr>
          <w:p>
            <w:pPr>
              <w:jc w:val="left"/>
            </w:pPr>
            <w:r>
              <w:t>1,1 m³</w:t>
            </w:r>
          </w:p>
          <w:p>
            <w:pPr>
              <w:jc w:val="left"/>
            </w:pPr>
            <w:r>
              <w:t>(32 días, 55,2%)</w:t>
            </w:r>
          </w:p>
        </w:tc>
        <w:tc>
          <w:tcPr>
            <w:tcW w:type="dxa" w:w="1440"/>
            <w:noWrap/>
          </w:tcPr>
          <w:p>
            <w:pPr>
              <w:jc w:val="left"/>
            </w:pPr>
            <w:r>
              <w:t>0,0 m³</w:t>
            </w:r>
          </w:p>
          <w:p>
            <w:pPr>
              <w:jc w:val="left"/>
            </w:pPr>
            <w:r>
              <w:t>(0,0%)</w:t>
            </w:r>
          </w:p>
        </w:tc>
      </w:tr>
      <w:tr>
        <w:tc>
          <w:tcPr>
            <w:tcW w:type="dxa" w:w="1440"/>
            <w:noWrap/>
          </w:tcPr>
          <w:p>
            <w:r>
              <w:t>11</w:t>
            </w:r>
          </w:p>
        </w:tc>
        <w:tc>
          <w:tcPr>
            <w:tcW w:type="dxa" w:w="1440"/>
            <w:noWrap/>
          </w:tcPr>
          <w:p>
            <w:r>
              <w:t>PAK DL KENNEDY</w:t>
            </w:r>
          </w:p>
        </w:tc>
        <w:tc>
          <w:tcPr>
            <w:tcW w:type="dxa" w:w="1440"/>
            <w:noWrap/>
          </w:tcPr>
          <w:p>
            <w:r>
              <w:t>17,3</w:t>
            </w:r>
          </w:p>
        </w:tc>
        <w:tc>
          <w:tcPr>
            <w:tcW w:type="dxa" w:w="1440"/>
            <w:noWrap/>
          </w:tcPr>
          <w:p>
            <w:r>
              <w:t>1</w:t>
            </w:r>
          </w:p>
        </w:tc>
        <w:tc>
          <w:tcPr>
            <w:tcW w:type="dxa" w:w="1440"/>
            <w:noWrap/>
          </w:tcPr>
          <w:p>
            <w:pPr>
              <w:jc w:val="left"/>
            </w:pPr>
            <w:r>
              <w:t>3 m³</w:t>
            </w:r>
          </w:p>
          <w:p>
            <w:pPr>
              <w:jc w:val="left"/>
            </w:pPr>
            <w:r>
              <w:t>(1 días, 1,7%)</w:t>
            </w:r>
          </w:p>
        </w:tc>
        <w:tc>
          <w:tcPr>
            <w:tcW w:type="dxa" w:w="1440"/>
            <w:noWrap/>
          </w:tcPr>
          <w:p>
            <w:pPr>
              <w:jc w:val="left"/>
            </w:pPr>
            <w:r>
              <w:t>0,0 m³</w:t>
            </w:r>
          </w:p>
          <w:p>
            <w:pPr>
              <w:jc w:val="left"/>
            </w:pPr>
            <w:r>
              <w:t>(0,0%)</w:t>
            </w:r>
          </w:p>
        </w:tc>
      </w:tr>
      <w:tr>
        <w:tc>
          <w:tcPr>
            <w:tcW w:type="dxa" w:w="1440"/>
            <w:noWrap/>
          </w:tcPr>
          <w:p>
            <w:r>
              <w:t>12</w:t>
            </w:r>
          </w:p>
        </w:tc>
        <w:tc>
          <w:tcPr>
            <w:tcW w:type="dxa" w:w="1440"/>
            <w:noWrap/>
          </w:tcPr>
          <w:p>
            <w:r>
              <w:t>Baño N°6 Varones</w:t>
            </w:r>
          </w:p>
        </w:tc>
        <w:tc>
          <w:tcPr>
            <w:tcW w:type="dxa" w:w="1440"/>
            <w:noWrap/>
          </w:tcPr>
          <w:p>
            <w:r>
              <w:t>2,4</w:t>
            </w:r>
          </w:p>
        </w:tc>
        <w:tc>
          <w:tcPr>
            <w:tcW w:type="dxa" w:w="1440"/>
            <w:noWrap/>
          </w:tcPr>
          <w:p>
            <w:r>
              <w:t>11</w:t>
            </w:r>
          </w:p>
        </w:tc>
        <w:tc>
          <w:tcPr>
            <w:tcW w:type="dxa" w:w="1440"/>
            <w:noWrap/>
          </w:tcPr>
          <w:p>
            <w:pPr>
              <w:jc w:val="left"/>
            </w:pPr>
            <w:r>
              <w:t>0 m³</w:t>
            </w:r>
          </w:p>
          <w:p>
            <w:pPr>
              <w:jc w:val="left"/>
            </w:pPr>
            <w:r>
              <w:t>(1 días, 1,7%)</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123.123,7</w:t>
            </w:r>
          </w:p>
        </w:tc>
        <w:tc>
          <w:tcPr>
            <w:tcW w:type="dxa" w:w="1440"/>
            <w:noWrap/>
            <w:shd w:val="clear" w:fill="FFE6E6"/>
          </w:tcPr>
          <w:p>
            <w:pPr>
              <w:jc w:val="left"/>
            </w:pPr>
            <w:r>
              <w:rPr>
                <w:b/>
                <w:color w:val="FF0000"/>
              </w:rPr>
              <w:t>265</w:t>
            </w:r>
          </w:p>
        </w:tc>
        <w:tc>
          <w:tcPr>
            <w:tcW w:type="dxa" w:w="1440"/>
            <w:noWrap/>
            <w:shd w:val="clear" w:fill="FFE6E6"/>
          </w:tcPr>
          <w:p>
            <w:pPr>
              <w:jc w:val="left"/>
            </w:pPr>
            <w:r>
              <w:rPr>
                <w:b/>
                <w:color w:val="FF0000"/>
              </w:rPr>
              <w:t>26.351,4 m³</w:t>
            </w:r>
          </w:p>
        </w:tc>
        <w:tc>
          <w:tcPr>
            <w:tcW w:type="dxa" w:w="1440"/>
            <w:noWrap/>
            <w:shd w:val="clear" w:fill="FFE6E6"/>
          </w:tcPr>
          <w:p>
            <w:pPr>
              <w:jc w:val="left"/>
            </w:pPr>
            <w:r>
              <w:rPr>
                <w:b/>
                <w:color w:val="FF0000"/>
              </w:rPr>
              <w:t>105.223,2 m³</w:t>
            </w:r>
          </w:p>
        </w:tc>
      </w:tr>
    </w:tbl>
    <w:p/>
    <w:p>
      <w:pPr>
        <w:keepNext/>
        <w:widowControl/>
        <w:spacing w:after="60"/>
        <w:jc w:val="center"/>
      </w:pPr>
      <w:r>
        <w:drawing>
          <wp:inline xmlns:a="http://schemas.openxmlformats.org/drawingml/2006/main" xmlns:pic="http://schemas.openxmlformats.org/drawingml/2006/picture">
            <wp:extent cx="5486400" cy="3427836"/>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27836"/>
                    </a:xfrm>
                    <a:prstGeom prst="rect"/>
                  </pic:spPr>
                </pic:pic>
              </a:graphicData>
            </a:graphic>
          </wp:inline>
        </w:drawing>
      </w:r>
    </w:p>
    <w:p/>
    <w:p>
      <w:pPr>
        <w:keepNext/>
        <w:widowControl/>
        <w:spacing w:after="60"/>
      </w:pPr>
      <w:r>
        <w:rPr>
          <w:b/>
          <w:color w:val="003366"/>
        </w:rPr>
        <w:t>DÍA CON MAYOR CONSUMO NOCTURNO - IMPULSIÓN ANDER3-4 MATRIZ PRINCIPAL (04-03-26):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20.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Impulsión Ander3-4 Matriz Principal registró 38 alerta(s) durante 32 día(s) del periodo analizado. La periodicidad de las alertas es regular (más del 50% de los días). Se identificó una proyección de filtración de 5.188 m³ ($6.469.436), lo que indica un patrón de fuga constante durante el periodo.</w:t>
      </w:r>
    </w:p>
    <w:p/>
    <w:p>
      <w:pPr>
        <w:keepNext/>
        <w:widowControl/>
        <w:spacing w:after="60"/>
      </w:pPr>
      <w:r>
        <w:rPr>
          <w:b/>
          <w:color w:val="003366"/>
        </w:rPr>
        <w:t>DÍA CON MAYOR CONSUMO NOCTURNO - IMPULSIÓN ANDER3-4 LOCALES GAST. (06-02-26):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21.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Impulsión Ander3-4 Locales Gast. registró 28 alerta(s) durante 24 día(s) del periodo analizado. La periodicidad de las alertas es intermitente (más del 20% de los días). Se identificó una proyección de filtración de 2.141,6 m³ ($2.670.575), lo que indica un patrón de fuga constante durante el periodo.</w:t>
      </w:r>
    </w:p>
    <w:p/>
    <w:p>
      <w:pPr>
        <w:keepNext/>
        <w:widowControl/>
        <w:spacing w:after="60"/>
      </w:pPr>
      <w:r>
        <w:rPr>
          <w:b/>
          <w:color w:val="003366"/>
        </w:rPr>
        <w:t>DÍA CON MAYOR CONSUMO NOCTURNO - IMPULSIÓN SANDIA BAÑOS 2-3-6-7 FREDO (09-02-26):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5_22.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Impulsión Sandia Baños 2-3-6-7 Fredo registró 2 alerta(s) durante 2 día(s) del periodo analizado. La periodicidad de las alertas es puntual (menos del 20% de los días). Se identificó una proyección de filtración de 40.246,8 m³ ($50.187.760), lo que indica un patrón de fuga constante durante el periodo.</w:t>
      </w:r>
    </w:p>
    <w:p/>
    <w:p>
      <w:pPr>
        <w:keepNext/>
        <w:widowControl/>
        <w:spacing w:after="60"/>
      </w:pPr>
      <w:r>
        <w:rPr>
          <w:b/>
          <w:color w:val="003366"/>
        </w:rPr>
        <w:t>DÍA CON MAYOR CONSUMO NOCTURNO - LLENADO PILETA (18-02-26):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5_23.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Llenado Pileta registró 44 alerta(s) durante 42 día(s) del periodo analizado. La periodicidad de las alertas es regular (más del 50% de los días). Se identificó una proyección de filtración de 12,5 m³ ($15.612), lo que indica un patrón de fuga constante durante el periodo.</w:t>
      </w:r>
    </w:p>
    <w:p/>
    <w:p>
      <w:pPr>
        <w:keepNext/>
        <w:widowControl/>
        <w:spacing w:after="60"/>
      </w:pPr>
      <w:r>
        <w:rPr>
          <w:b/>
          <w:color w:val="003366"/>
        </w:rPr>
        <w:t>DÍA CON MAYOR CONSUMO NOCTURNO - LLENADO PILETA CASCADA (08-02-26):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5_24.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Llenado Pileta Cascada registró 62 alerta(s) durante 56 día(s) del periodo analizado. La periodicidad de las alertas es frecuente (más del 80% de los días). Se identificó una proyección de filtración de 114,1 m³ ($142.258), lo que indica un patrón de fuga constante durante el periodo.</w:t>
      </w:r>
    </w:p>
    <w:p/>
    <w:p>
      <w:pPr>
        <w:keepNext/>
        <w:widowControl/>
        <w:spacing w:after="60"/>
      </w:pPr>
      <w:r>
        <w:rPr>
          <w:b/>
          <w:color w:val="003366"/>
        </w:rPr>
        <w:t>DÍA CON MAYOR CONSUMO NOCTURNO - BAÑO N°5 DAMAS (28-03-26):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25_25.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Baño N°5 Damas registró 52 alerta(s) durante 47 día(s) del periodo analizado. La periodicidad de las alertas es frecuente (más del 80% de los días).</w:t>
      </w:r>
    </w:p>
    <w:p/>
    <w:p>
      <w:pPr>
        <w:keepNext/>
        <w:widowControl/>
        <w:spacing w:after="60"/>
      </w:pPr>
      <w:r>
        <w:rPr>
          <w:b/>
          <w:color w:val="003366"/>
        </w:rPr>
        <w:t>DÍA CON MAYOR CONSUMO NOCTURNO - BAÑO N°6 VARONES (11-02-26):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25_26.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Baño N°6 Varones registró 11 alerta(s) durante 10 día(s) del periodo analizado. La periodicidad de las alertas es puntual (menos del 20% de los días).</w:t>
      </w:r>
    </w:p>
    <w:p/>
    <w:p>
      <w:pPr>
        <w:keepNext/>
        <w:widowControl/>
        <w:spacing w:after="60"/>
      </w:pPr>
      <w:r>
        <w:rPr>
          <w:b/>
          <w:color w:val="003366"/>
        </w:rPr>
        <w:t>DÍA CON MAYOR CONSUMO NOCTURNO - DISTRITO DE LUJO DL (09-02-26):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25_27.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Distrito de lujo DL registró 1 alerta(s) durante 1 día(s) del periodo analizado. La periodicidad de las alertas es puntual (menos del 20% de los días). Se identificó una proyección de filtración de 44.930 m³ ($56.027.710), lo que indica un patrón de fuga constante durante el periodo.</w:t>
      </w:r>
    </w:p>
    <w:p/>
    <w:p>
      <w:pPr>
        <w:keepNext/>
        <w:widowControl/>
        <w:spacing w:after="60"/>
      </w:pPr>
      <w:r>
        <w:rPr>
          <w:b/>
          <w:color w:val="003366"/>
        </w:rPr>
        <w:t>DÍA CON MAYOR CONSUMO NOCTURNO - IMPULSIÓN MALL 1 PISO-4 (28-03-26):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25_28.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Impulsión Mall 1 Piso-4 registró 23 alerta(s) durante 21 día(s) del periodo analizado. La periodicidad de las alertas es intermitente (más del 20% de los días). Se identificó una proyección de filtración de 10.399,6 m³ ($12.968.301), lo que indica un patrón de fuga constante durante el periodo.</w:t>
      </w:r>
    </w:p>
    <w:p/>
    <w:p>
      <w:pPr>
        <w:keepNext/>
        <w:widowControl/>
        <w:spacing w:after="60"/>
      </w:pPr>
      <w:r>
        <w:rPr>
          <w:b/>
          <w:color w:val="003366"/>
        </w:rPr>
        <w:t>DÍA CON MAYOR CONSUMO NOCTURNO - IMPULSIÓN ANDEN 3-4 RESTAURANTE (19-03-26):</w:t>
      </w:r>
    </w:p>
    <w:p>
      <w:pPr>
        <w:keepNext/>
        <w:widowControl/>
        <w:spacing w:after="60"/>
        <w:jc w:val="center"/>
      </w:pPr>
      <w:r>
        <w:drawing>
          <wp:inline xmlns:a="http://schemas.openxmlformats.org/drawingml/2006/main" xmlns:pic="http://schemas.openxmlformats.org/drawingml/2006/picture">
            <wp:extent cx="5486400" cy="2702533"/>
            <wp:docPr id="12" name="Picture 12"/>
            <wp:cNvGraphicFramePr>
              <a:graphicFrameLocks noChangeAspect="1"/>
            </wp:cNvGraphicFramePr>
            <a:graphic>
              <a:graphicData uri="http://schemas.openxmlformats.org/drawingml/2006/picture">
                <pic:pic>
                  <pic:nvPicPr>
                    <pic:cNvPr id="0" name="chart_max_nocturnal_000025_29.png"/>
                    <pic:cNvPicPr/>
                  </pic:nvPicPr>
                  <pic:blipFill>
                    <a:blip r:embed="rId21"/>
                    <a:stretch>
                      <a:fillRect/>
                    </a:stretch>
                  </pic:blipFill>
                  <pic:spPr>
                    <a:xfrm>
                      <a:off x="0" y="0"/>
                      <a:ext cx="5486400" cy="2702533"/>
                    </a:xfrm>
                    <a:prstGeom prst="rect"/>
                  </pic:spPr>
                </pic:pic>
              </a:graphicData>
            </a:graphic>
          </wp:inline>
        </w:drawing>
      </w:r>
    </w:p>
    <w:p>
      <w:pPr>
        <w:jc w:val="both"/>
      </w:pPr>
      <w:r>
        <w:rPr>
          <w:color w:val="000000"/>
        </w:rPr>
        <w:t>El nodo Impulsión Anden 3-4 Restaurante registró 3 alerta(s) durante 3 día(s) del periodo analizado. La periodicidad de las alertas es puntual (menos del 20% de los días). Se identificó una proyección de filtración de 2.190,6 m³ ($2.731.728), lo que indica un patrón de fuga constante durante el periodo.</w:t>
      </w:r>
    </w:p>
    <w:p/>
    <w:p>
      <w:pPr>
        <w:keepNext/>
        <w:widowControl/>
        <w:spacing w:after="60"/>
      </w:pPr>
      <w:r>
        <w:rPr>
          <w:b/>
          <w:color w:val="003366"/>
        </w:rPr>
        <w:t>DÍA CON MAYOR CONSUMO NOCTURNO - PAK DL KENNEDY (31-03-26):</w:t>
      </w:r>
    </w:p>
    <w:p>
      <w:pPr>
        <w:keepNext/>
        <w:widowControl/>
        <w:spacing w:after="60"/>
        <w:jc w:val="center"/>
      </w:pPr>
      <w:r>
        <w:drawing>
          <wp:inline xmlns:a="http://schemas.openxmlformats.org/drawingml/2006/main" xmlns:pic="http://schemas.openxmlformats.org/drawingml/2006/picture">
            <wp:extent cx="5486400" cy="2702533"/>
            <wp:docPr id="13" name="Picture 13"/>
            <wp:cNvGraphicFramePr>
              <a:graphicFrameLocks noChangeAspect="1"/>
            </wp:cNvGraphicFramePr>
            <a:graphic>
              <a:graphicData uri="http://schemas.openxmlformats.org/drawingml/2006/picture">
                <pic:pic>
                  <pic:nvPicPr>
                    <pic:cNvPr id="0" name="chart_max_nocturnal_000025_36.png"/>
                    <pic:cNvPicPr/>
                  </pic:nvPicPr>
                  <pic:blipFill>
                    <a:blip r:embed="rId22"/>
                    <a:stretch>
                      <a:fillRect/>
                    </a:stretch>
                  </pic:blipFill>
                  <pic:spPr>
                    <a:xfrm>
                      <a:off x="0" y="0"/>
                      <a:ext cx="5486400" cy="2702533"/>
                    </a:xfrm>
                    <a:prstGeom prst="rect"/>
                  </pic:spPr>
                </pic:pic>
              </a:graphicData>
            </a:graphic>
          </wp:inline>
        </w:drawing>
      </w:r>
    </w:p>
    <w:p>
      <w:pPr>
        <w:jc w:val="both"/>
      </w:pPr>
      <w:r>
        <w:rPr>
          <w:color w:val="000000"/>
        </w:rPr>
        <w:t>El nodo PAK DL KENNEDY registró 1 alerta(s) durante 1 día(s) del periodo analizado. La periodicidad de las alertas es puntual (menos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4" name="Picture 14"/>
            <wp:cNvGraphicFramePr>
              <a:graphicFrameLocks noChangeAspect="1"/>
            </wp:cNvGraphicFramePr>
            <a:graphic>
              <a:graphicData uri="http://schemas.openxmlformats.org/drawingml/2006/picture">
                <pic:pic>
                  <pic:nvPicPr>
                    <pic:cNvPr id="0" name="chart_comparacion_mensual_agregada.png"/>
                    <pic:cNvPicPr/>
                  </pic:nvPicPr>
                  <pic:blipFill>
                    <a:blip r:embed="rId23"/>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Distrito de lujo DL, Impulsión Sandia Baños 2-3-6-7 Fredo, Impulsión Mall 1 Piso-4, Impulsión Ander3-4 Matriz Principal, Impulsión Ander3-4 Locales Gast., Impulsión Anden 3-4 Restaurante, Llenado Pileta y Llenado Pileta Cascada.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