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02-02-26 - 31-03-26</w:t>
        <w:br/>
        <w:t>Generado: 31-03-26 22:38</w:t>
      </w:r>
    </w:p>
    <w:p>
      <w:pPr>
        <w:pStyle w:val="Heading1"/>
        <w:keepNext/>
        <w:widowControl/>
        <w:spacing w:after="60"/>
      </w:pPr>
      <w:r>
        <w:rPr>
          <w:b/>
          <w:color w:val="003366"/>
        </w:rPr>
        <w:t>RESUMEN EJECUTIVO AGREGADO</w:t>
      </w:r>
    </w:p>
    <w:p>
      <w:r>
        <w:t>Puntos de monitoreo analizados: 12.</w:t>
        <w:br/>
      </w:r>
      <w:r>
        <w:t>Consumo total agregado: 123.123,7 m³.</w:t>
        <w:br/>
      </w:r>
      <w:r>
        <w:t>Consumo promedio por punto: 10.260,3 m³.</w:t>
        <w:br/>
      </w:r>
      <w:r>
        <w:t>Total de alertas registradas: 265.</w:t>
        <w:br/>
      </w:r>
      <w:r>
        <w:t>Promedio de alerta agregado: 14 m³/h.</w:t>
        <w:br/>
      </w:r>
      <w:r>
        <w:t>Proyección diaria de consumo nocturno agregada: 334,9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45.508,5 m³ durante el periodo analizado. Este valor representa un 343,5% por encima del promedio (10.260,3 m³ por punto), indicando una demanda significativamente superior a la media. Por otro lado, el punto con menor consumo es Baño N°6 Varones, con un total de 2,4 m³. Este valor representa un 100% por debajo del promedio, mostrando una demanda significativamente inferior. La diferencia entre el punto de mayor y menor consumo es considerable, siendo el consumo máximo aproximadamente 19.041,2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4"/>
        <w:gridCol w:w="1919"/>
        <w:gridCol w:w="1050"/>
        <w:gridCol w:w="1050"/>
        <w:gridCol w:w="1439"/>
        <w:gridCol w:w="127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45.508,5</w:t>
            </w:r>
          </w:p>
        </w:tc>
        <w:tc>
          <w:tcPr>
            <w:tcW w:type="dxa" w:w="1440"/>
            <w:noWrap/>
          </w:tcPr>
          <w:p>
            <w:r>
              <w:t>1</w:t>
            </w:r>
          </w:p>
        </w:tc>
        <w:tc>
          <w:tcPr>
            <w:tcW w:type="dxa" w:w="1440"/>
            <w:noWrap/>
          </w:tcPr>
          <w:p>
            <w:pPr>
              <w:jc w:val="left"/>
            </w:pPr>
            <w:r>
              <w:t>11.232,5 m³</w:t>
            </w:r>
          </w:p>
          <w:p>
            <w:pPr>
              <w:jc w:val="left"/>
            </w:pPr>
            <w:r>
              <w:t>(58 días, 100%)</w:t>
            </w:r>
          </w:p>
        </w:tc>
        <w:tc>
          <w:tcPr>
            <w:tcW w:type="dxa" w:w="1440"/>
            <w:noWrap/>
          </w:tcPr>
          <w:p>
            <w:pPr>
              <w:jc w:val="left"/>
            </w:pPr>
            <w:r>
              <w:t>44.930 m³</w:t>
            </w:r>
          </w:p>
          <w:p>
            <w:pPr>
              <w:jc w:val="left"/>
            </w:pPr>
            <w:r>
              <w:t>(98,7%)</w:t>
            </w:r>
          </w:p>
        </w:tc>
      </w:tr>
      <w:tr>
        <w:tc>
          <w:tcPr>
            <w:tcW w:type="dxa" w:w="1440"/>
            <w:noWrap/>
          </w:tcPr>
          <w:p>
            <w:r>
              <w:t>2</w:t>
            </w:r>
          </w:p>
        </w:tc>
        <w:tc>
          <w:tcPr>
            <w:tcW w:type="dxa" w:w="1440"/>
            <w:noWrap/>
          </w:tcPr>
          <w:p>
            <w:r>
              <w:t>Sala de Bomba Sandia Antigua</w:t>
            </w:r>
          </w:p>
        </w:tc>
        <w:tc>
          <w:tcPr>
            <w:tcW w:type="dxa" w:w="1440"/>
            <w:noWrap/>
          </w:tcPr>
          <w:p>
            <w:r>
              <w:t>41.060,9</w:t>
            </w:r>
          </w:p>
        </w:tc>
        <w:tc>
          <w:tcPr>
            <w:tcW w:type="dxa" w:w="1440"/>
            <w:noWrap/>
          </w:tcPr>
          <w:p>
            <w:r>
              <w:t>2</w:t>
            </w:r>
          </w:p>
        </w:tc>
        <w:tc>
          <w:tcPr>
            <w:tcW w:type="dxa" w:w="1440"/>
            <w:noWrap/>
          </w:tcPr>
          <w:p>
            <w:pPr>
              <w:jc w:val="left"/>
            </w:pPr>
            <w:r>
              <w:t>10.061,7 m³</w:t>
            </w:r>
          </w:p>
          <w:p>
            <w:pPr>
              <w:jc w:val="left"/>
            </w:pPr>
            <w:r>
              <w:t>(58 días, 100%)</w:t>
            </w:r>
          </w:p>
        </w:tc>
        <w:tc>
          <w:tcPr>
            <w:tcW w:type="dxa" w:w="1440"/>
            <w:noWrap/>
          </w:tcPr>
          <w:p>
            <w:pPr>
              <w:jc w:val="left"/>
            </w:pPr>
            <w:r>
              <w:t>40.246,8 m³</w:t>
            </w:r>
          </w:p>
          <w:p>
            <w:pPr>
              <w:jc w:val="left"/>
            </w:pPr>
            <w:r>
              <w:t>(98%)</w:t>
            </w:r>
          </w:p>
        </w:tc>
      </w:tr>
      <w:tr>
        <w:tc>
          <w:tcPr>
            <w:tcW w:type="dxa" w:w="1440"/>
            <w:noWrap/>
          </w:tcPr>
          <w:p>
            <w:r>
              <w:t>3</w:t>
            </w:r>
          </w:p>
        </w:tc>
        <w:tc>
          <w:tcPr>
            <w:tcW w:type="dxa" w:w="1440"/>
            <w:noWrap/>
          </w:tcPr>
          <w:p>
            <w:r>
              <w:t>Sala de Bomba Sandia Nueva</w:t>
            </w:r>
          </w:p>
        </w:tc>
        <w:tc>
          <w:tcPr>
            <w:tcW w:type="dxa" w:w="1440"/>
            <w:noWrap/>
          </w:tcPr>
          <w:p>
            <w:r>
              <w:t>15.568,5</w:t>
            </w:r>
          </w:p>
        </w:tc>
        <w:tc>
          <w:tcPr>
            <w:tcW w:type="dxa" w:w="1440"/>
            <w:noWrap/>
          </w:tcPr>
          <w:p>
            <w:r>
              <w:t>23</w:t>
            </w:r>
          </w:p>
        </w:tc>
        <w:tc>
          <w:tcPr>
            <w:tcW w:type="dxa" w:w="1440"/>
            <w:noWrap/>
          </w:tcPr>
          <w:p>
            <w:pPr>
              <w:jc w:val="left"/>
            </w:pPr>
            <w:r>
              <w:t>2.599,9 m³</w:t>
            </w:r>
          </w:p>
          <w:p>
            <w:pPr>
              <w:jc w:val="left"/>
            </w:pPr>
            <w:r>
              <w:t>(58 días, 100%)</w:t>
            </w:r>
          </w:p>
        </w:tc>
        <w:tc>
          <w:tcPr>
            <w:tcW w:type="dxa" w:w="1440"/>
            <w:noWrap/>
          </w:tcPr>
          <w:p>
            <w:pPr>
              <w:jc w:val="left"/>
            </w:pPr>
            <w:r>
              <w:t>10.399,6 m³</w:t>
            </w:r>
          </w:p>
          <w:p>
            <w:pPr>
              <w:jc w:val="left"/>
            </w:pPr>
            <w:r>
              <w:t>(66,8%)</w:t>
            </w:r>
          </w:p>
        </w:tc>
      </w:tr>
      <w:tr>
        <w:tc>
          <w:tcPr>
            <w:tcW w:type="dxa" w:w="1440"/>
            <w:noWrap/>
          </w:tcPr>
          <w:p>
            <w:r>
              <w:t>4</w:t>
            </w:r>
          </w:p>
        </w:tc>
        <w:tc>
          <w:tcPr>
            <w:tcW w:type="dxa" w:w="1440"/>
            <w:noWrap/>
          </w:tcPr>
          <w:p>
            <w:r>
              <w:t>Impulsión Anden 3-4 Matriz Principal</w:t>
            </w:r>
          </w:p>
        </w:tc>
        <w:tc>
          <w:tcPr>
            <w:tcW w:type="dxa" w:w="1440"/>
            <w:noWrap/>
          </w:tcPr>
          <w:p>
            <w:r>
              <w:t>10.869,5</w:t>
            </w:r>
          </w:p>
        </w:tc>
        <w:tc>
          <w:tcPr>
            <w:tcW w:type="dxa" w:w="1440"/>
            <w:noWrap/>
          </w:tcPr>
          <w:p>
            <w:r>
              <w:t>38</w:t>
            </w:r>
          </w:p>
        </w:tc>
        <w:tc>
          <w:tcPr>
            <w:tcW w:type="dxa" w:w="1440"/>
            <w:noWrap/>
          </w:tcPr>
          <w:p>
            <w:pPr>
              <w:jc w:val="left"/>
            </w:pPr>
            <w:r>
              <w:t>1.297 m³</w:t>
            </w:r>
          </w:p>
          <w:p>
            <w:pPr>
              <w:jc w:val="left"/>
            </w:pPr>
            <w:r>
              <w:t>(58 días, 100%)</w:t>
            </w:r>
          </w:p>
        </w:tc>
        <w:tc>
          <w:tcPr>
            <w:tcW w:type="dxa" w:w="1440"/>
            <w:noWrap/>
          </w:tcPr>
          <w:p>
            <w:pPr>
              <w:jc w:val="left"/>
            </w:pPr>
            <w:r>
              <w:t>5.188 m³</w:t>
            </w:r>
          </w:p>
          <w:p>
            <w:pPr>
              <w:jc w:val="left"/>
            </w:pPr>
            <w:r>
              <w:t>(47,7%)</w:t>
            </w:r>
          </w:p>
        </w:tc>
      </w:tr>
      <w:tr>
        <w:tc>
          <w:tcPr>
            <w:tcW w:type="dxa" w:w="1440"/>
            <w:noWrap/>
          </w:tcPr>
          <w:p>
            <w:r>
              <w:t>5</w:t>
            </w:r>
          </w:p>
        </w:tc>
        <w:tc>
          <w:tcPr>
            <w:tcW w:type="dxa" w:w="1440"/>
            <w:noWrap/>
          </w:tcPr>
          <w:p>
            <w:r>
              <w:t>Impulsión Anden 3-4 Locales Gast.</w:t>
            </w:r>
          </w:p>
        </w:tc>
        <w:tc>
          <w:tcPr>
            <w:tcW w:type="dxa" w:w="1440"/>
            <w:noWrap/>
          </w:tcPr>
          <w:p>
            <w:r>
              <w:t>7.438,4</w:t>
            </w:r>
          </w:p>
        </w:tc>
        <w:tc>
          <w:tcPr>
            <w:tcW w:type="dxa" w:w="1440"/>
            <w:noWrap/>
          </w:tcPr>
          <w:p>
            <w:r>
              <w:t>28</w:t>
            </w:r>
          </w:p>
        </w:tc>
        <w:tc>
          <w:tcPr>
            <w:tcW w:type="dxa" w:w="1440"/>
            <w:noWrap/>
          </w:tcPr>
          <w:p>
            <w:pPr>
              <w:jc w:val="left"/>
            </w:pPr>
            <w:r>
              <w:t>535,4 m³</w:t>
            </w:r>
          </w:p>
          <w:p>
            <w:pPr>
              <w:jc w:val="left"/>
            </w:pPr>
            <w:r>
              <w:t>(58 días, 100%)</w:t>
            </w:r>
          </w:p>
        </w:tc>
        <w:tc>
          <w:tcPr>
            <w:tcW w:type="dxa" w:w="1440"/>
            <w:noWrap/>
          </w:tcPr>
          <w:p>
            <w:pPr>
              <w:jc w:val="left"/>
            </w:pPr>
            <w:r>
              <w:t>2.141,6 m³</w:t>
            </w:r>
          </w:p>
          <w:p>
            <w:pPr>
              <w:jc w:val="left"/>
            </w:pPr>
            <w:r>
              <w:t>(28,8%)</w:t>
            </w:r>
          </w:p>
        </w:tc>
      </w:tr>
      <w:tr>
        <w:tc>
          <w:tcPr>
            <w:tcW w:type="dxa" w:w="1440"/>
            <w:noWrap/>
          </w:tcPr>
          <w:p>
            <w:r>
              <w:t>6</w:t>
            </w:r>
          </w:p>
        </w:tc>
        <w:tc>
          <w:tcPr>
            <w:tcW w:type="dxa" w:w="1440"/>
            <w:noWrap/>
          </w:tcPr>
          <w:p>
            <w:r>
              <w:t>Impulsión Anden 3-4 Restaurante</w:t>
            </w:r>
          </w:p>
        </w:tc>
        <w:tc>
          <w:tcPr>
            <w:tcW w:type="dxa" w:w="1440"/>
            <w:noWrap/>
          </w:tcPr>
          <w:p>
            <w:r>
              <w:t>2.107,7</w:t>
            </w:r>
          </w:p>
        </w:tc>
        <w:tc>
          <w:tcPr>
            <w:tcW w:type="dxa" w:w="1440"/>
            <w:noWrap/>
          </w:tcPr>
          <w:p>
            <w:r>
              <w:t>3</w:t>
            </w:r>
          </w:p>
        </w:tc>
        <w:tc>
          <w:tcPr>
            <w:tcW w:type="dxa" w:w="1440"/>
            <w:noWrap/>
          </w:tcPr>
          <w:p>
            <w:pPr>
              <w:jc w:val="left"/>
            </w:pPr>
            <w:r>
              <w:t>547,7 m³</w:t>
            </w:r>
          </w:p>
          <w:p>
            <w:pPr>
              <w:jc w:val="left"/>
            </w:pPr>
            <w:r>
              <w:t>(58 días, 100%)</w:t>
            </w:r>
          </w:p>
        </w:tc>
        <w:tc>
          <w:tcPr>
            <w:tcW w:type="dxa" w:w="1440"/>
            <w:noWrap/>
          </w:tcPr>
          <w:p>
            <w:pPr>
              <w:jc w:val="left"/>
            </w:pPr>
            <w:r>
              <w:t>2.190,6 m³</w:t>
            </w:r>
          </w:p>
          <w:p>
            <w:pPr>
              <w:jc w:val="left"/>
            </w:pPr>
            <w:r>
              <w:t>(103,9%)</w:t>
            </w:r>
          </w:p>
        </w:tc>
      </w:tr>
      <w:tr>
        <w:tc>
          <w:tcPr>
            <w:tcW w:type="dxa" w:w="1440"/>
            <w:noWrap/>
          </w:tcPr>
          <w:p>
            <w:r>
              <w:t>7</w:t>
            </w:r>
          </w:p>
        </w:tc>
        <w:tc>
          <w:tcPr>
            <w:tcW w:type="dxa" w:w="1440"/>
            <w:noWrap/>
          </w:tcPr>
          <w:p>
            <w:r>
              <w:t>PAK BAZAR GOURMET</w:t>
            </w:r>
          </w:p>
        </w:tc>
        <w:tc>
          <w:tcPr>
            <w:tcW w:type="dxa" w:w="1440"/>
            <w:noWrap/>
          </w:tcPr>
          <w:p>
            <w:r>
              <w:t>249,9</w:t>
            </w:r>
          </w:p>
        </w:tc>
        <w:tc>
          <w:tcPr>
            <w:tcW w:type="dxa" w:w="1440"/>
            <w:noWrap/>
          </w:tcPr>
          <w:p>
            <w:r>
              <w:t>0</w:t>
            </w:r>
          </w:p>
        </w:tc>
        <w:tc>
          <w:tcPr>
            <w:tcW w:type="dxa" w:w="1440"/>
            <w:noWrap/>
          </w:tcPr>
          <w:p>
            <w:pPr>
              <w:jc w:val="left"/>
            </w:pPr>
            <w:r>
              <w:t>41,5 m³</w:t>
            </w:r>
          </w:p>
          <w:p>
            <w:pPr>
              <w:jc w:val="left"/>
            </w:pPr>
            <w:r>
              <w:t>(1 días, 1,7%)</w:t>
            </w:r>
          </w:p>
        </w:tc>
        <w:tc>
          <w:tcPr>
            <w:tcW w:type="dxa" w:w="1440"/>
            <w:noWrap/>
          </w:tcPr>
          <w:p>
            <w:pPr>
              <w:jc w:val="left"/>
            </w:pPr>
            <w:r>
              <w:t>0,0 m³</w:t>
            </w:r>
          </w:p>
          <w:p>
            <w:pPr>
              <w:jc w:val="left"/>
            </w:pPr>
            <w:r>
              <w:t>(0,0%)</w:t>
            </w:r>
          </w:p>
        </w:tc>
      </w:tr>
      <w:tr>
        <w:tc>
          <w:tcPr>
            <w:tcW w:type="dxa" w:w="1440"/>
            <w:noWrap/>
          </w:tcPr>
          <w:p>
            <w:r>
              <w:t>8</w:t>
            </w:r>
          </w:p>
        </w:tc>
        <w:tc>
          <w:tcPr>
            <w:tcW w:type="dxa" w:w="1440"/>
            <w:noWrap/>
          </w:tcPr>
          <w:p>
            <w:r>
              <w:t>Llenado Pileta</w:t>
            </w:r>
          </w:p>
        </w:tc>
        <w:tc>
          <w:tcPr>
            <w:tcW w:type="dxa" w:w="1440"/>
            <w:noWrap/>
          </w:tcPr>
          <w:p>
            <w:r>
              <w:t>160,4</w:t>
            </w:r>
          </w:p>
        </w:tc>
        <w:tc>
          <w:tcPr>
            <w:tcW w:type="dxa" w:w="1440"/>
            <w:noWrap/>
          </w:tcPr>
          <w:p>
            <w:r>
              <w:t>44</w:t>
            </w:r>
          </w:p>
        </w:tc>
        <w:tc>
          <w:tcPr>
            <w:tcW w:type="dxa" w:w="1440"/>
            <w:noWrap/>
          </w:tcPr>
          <w:p>
            <w:pPr>
              <w:jc w:val="left"/>
            </w:pPr>
            <w:r>
              <w:t>3,1 m³</w:t>
            </w:r>
          </w:p>
          <w:p>
            <w:pPr>
              <w:jc w:val="left"/>
            </w:pPr>
            <w:r>
              <w:t>(58 días, 100%)</w:t>
            </w:r>
          </w:p>
        </w:tc>
        <w:tc>
          <w:tcPr>
            <w:tcW w:type="dxa" w:w="1440"/>
            <w:noWrap/>
          </w:tcPr>
          <w:p>
            <w:pPr>
              <w:jc w:val="left"/>
            </w:pPr>
            <w:r>
              <w:t>12,5 m³</w:t>
            </w:r>
          </w:p>
          <w:p>
            <w:pPr>
              <w:jc w:val="left"/>
            </w:pPr>
            <w:r>
              <w:t>(7,8%)</w:t>
            </w:r>
          </w:p>
        </w:tc>
      </w:tr>
      <w:tr>
        <w:tc>
          <w:tcPr>
            <w:tcW w:type="dxa" w:w="1440"/>
            <w:noWrap/>
          </w:tcPr>
          <w:p>
            <w:r>
              <w:t>9</w:t>
            </w:r>
          </w:p>
        </w:tc>
        <w:tc>
          <w:tcPr>
            <w:tcW w:type="dxa" w:w="1440"/>
            <w:noWrap/>
          </w:tcPr>
          <w:p>
            <w:r>
              <w:t>Llenado Pileta Cascada</w:t>
            </w:r>
          </w:p>
        </w:tc>
        <w:tc>
          <w:tcPr>
            <w:tcW w:type="dxa" w:w="1440"/>
            <w:noWrap/>
          </w:tcPr>
          <w:p>
            <w:r>
              <w:t>112,5</w:t>
            </w:r>
          </w:p>
        </w:tc>
        <w:tc>
          <w:tcPr>
            <w:tcW w:type="dxa" w:w="1440"/>
            <w:noWrap/>
          </w:tcPr>
          <w:p>
            <w:r>
              <w:t>62</w:t>
            </w:r>
          </w:p>
        </w:tc>
        <w:tc>
          <w:tcPr>
            <w:tcW w:type="dxa" w:w="1440"/>
            <w:noWrap/>
          </w:tcPr>
          <w:p>
            <w:pPr>
              <w:jc w:val="left"/>
            </w:pPr>
            <w:r>
              <w:t>28,5 m³</w:t>
            </w:r>
          </w:p>
          <w:p>
            <w:pPr>
              <w:jc w:val="left"/>
            </w:pPr>
            <w:r>
              <w:t>(58 días, 100%)</w:t>
            </w:r>
          </w:p>
        </w:tc>
        <w:tc>
          <w:tcPr>
            <w:tcW w:type="dxa" w:w="1440"/>
            <w:noWrap/>
          </w:tcPr>
          <w:p>
            <w:pPr>
              <w:jc w:val="left"/>
            </w:pPr>
            <w:r>
              <w:t>114,1 m³</w:t>
            </w:r>
          </w:p>
          <w:p>
            <w:pPr>
              <w:jc w:val="left"/>
            </w:pPr>
            <w:r>
              <w:t>(101,4%)</w:t>
            </w:r>
          </w:p>
        </w:tc>
      </w:tr>
      <w:tr>
        <w:tc>
          <w:tcPr>
            <w:tcW w:type="dxa" w:w="1440"/>
            <w:noWrap/>
          </w:tcPr>
          <w:p>
            <w:r>
              <w:t>10</w:t>
            </w:r>
          </w:p>
        </w:tc>
        <w:tc>
          <w:tcPr>
            <w:tcW w:type="dxa" w:w="1440"/>
            <w:noWrap/>
          </w:tcPr>
          <w:p>
            <w:r>
              <w:t>Baño N°5 Damas</w:t>
            </w:r>
          </w:p>
        </w:tc>
        <w:tc>
          <w:tcPr>
            <w:tcW w:type="dxa" w:w="1440"/>
            <w:noWrap/>
          </w:tcPr>
          <w:p>
            <w:r>
              <w:t>27,7</w:t>
            </w:r>
          </w:p>
        </w:tc>
        <w:tc>
          <w:tcPr>
            <w:tcW w:type="dxa" w:w="1440"/>
            <w:noWrap/>
          </w:tcPr>
          <w:p>
            <w:r>
              <w:t>52</w:t>
            </w:r>
          </w:p>
        </w:tc>
        <w:tc>
          <w:tcPr>
            <w:tcW w:type="dxa" w:w="1440"/>
            <w:noWrap/>
          </w:tcPr>
          <w:p>
            <w:pPr>
              <w:jc w:val="left"/>
            </w:pPr>
            <w:r>
              <w:t>1,1 m³</w:t>
            </w:r>
          </w:p>
          <w:p>
            <w:pPr>
              <w:jc w:val="left"/>
            </w:pPr>
            <w:r>
              <w:t>(32 días, 55,2%)</w:t>
            </w:r>
          </w:p>
        </w:tc>
        <w:tc>
          <w:tcPr>
            <w:tcW w:type="dxa" w:w="1440"/>
            <w:noWrap/>
          </w:tcPr>
          <w:p>
            <w:pPr>
              <w:jc w:val="left"/>
            </w:pPr>
            <w:r>
              <w:t>0,0 m³</w:t>
            </w:r>
          </w:p>
          <w:p>
            <w:pPr>
              <w:jc w:val="left"/>
            </w:pPr>
            <w:r>
              <w:t>(0,0%)</w:t>
            </w:r>
          </w:p>
        </w:tc>
      </w:tr>
      <w:tr>
        <w:tc>
          <w:tcPr>
            <w:tcW w:type="dxa" w:w="1440"/>
            <w:noWrap/>
          </w:tcPr>
          <w:p>
            <w:r>
              <w:t>11</w:t>
            </w:r>
          </w:p>
        </w:tc>
        <w:tc>
          <w:tcPr>
            <w:tcW w:type="dxa" w:w="1440"/>
            <w:noWrap/>
          </w:tcPr>
          <w:p>
            <w:r>
              <w:t>PAK DL KENNEDY</w:t>
            </w:r>
          </w:p>
        </w:tc>
        <w:tc>
          <w:tcPr>
            <w:tcW w:type="dxa" w:w="1440"/>
            <w:noWrap/>
          </w:tcPr>
          <w:p>
            <w:r>
              <w:t>17,3</w:t>
            </w:r>
          </w:p>
        </w:tc>
        <w:tc>
          <w:tcPr>
            <w:tcW w:type="dxa" w:w="1440"/>
            <w:noWrap/>
          </w:tcPr>
          <w:p>
            <w:r>
              <w:t>1</w:t>
            </w:r>
          </w:p>
        </w:tc>
        <w:tc>
          <w:tcPr>
            <w:tcW w:type="dxa" w:w="1440"/>
            <w:noWrap/>
          </w:tcPr>
          <w:p>
            <w:pPr>
              <w:jc w:val="left"/>
            </w:pPr>
            <w:r>
              <w:t>3 m³</w:t>
            </w:r>
          </w:p>
          <w:p>
            <w:pPr>
              <w:jc w:val="left"/>
            </w:pPr>
            <w:r>
              <w:t>(1 días, 1,7%)</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2,4</w:t>
            </w:r>
          </w:p>
        </w:tc>
        <w:tc>
          <w:tcPr>
            <w:tcW w:type="dxa" w:w="1440"/>
            <w:noWrap/>
          </w:tcPr>
          <w:p>
            <w:r>
              <w:t>11</w:t>
            </w:r>
          </w:p>
        </w:tc>
        <w:tc>
          <w:tcPr>
            <w:tcW w:type="dxa" w:w="1440"/>
            <w:noWrap/>
          </w:tcPr>
          <w:p>
            <w:pPr>
              <w:jc w:val="left"/>
            </w:pPr>
            <w:r>
              <w:t>0 m³</w:t>
            </w:r>
          </w:p>
          <w:p>
            <w:pPr>
              <w:jc w:val="left"/>
            </w:pPr>
            <w:r>
              <w:t>(1 días, 1,7%)</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123.123,7</w:t>
            </w:r>
          </w:p>
        </w:tc>
        <w:tc>
          <w:tcPr>
            <w:tcW w:type="dxa" w:w="1440"/>
            <w:noWrap/>
            <w:shd w:val="clear" w:fill="FFE6E6"/>
          </w:tcPr>
          <w:p>
            <w:pPr>
              <w:jc w:val="left"/>
            </w:pPr>
            <w:r>
              <w:rPr>
                <w:b/>
                <w:color w:val="FF0000"/>
              </w:rPr>
              <w:t>265</w:t>
            </w:r>
          </w:p>
        </w:tc>
        <w:tc>
          <w:tcPr>
            <w:tcW w:type="dxa" w:w="1440"/>
            <w:noWrap/>
            <w:shd w:val="clear" w:fill="FFE6E6"/>
          </w:tcPr>
          <w:p>
            <w:pPr>
              <w:jc w:val="left"/>
            </w:pPr>
            <w:r>
              <w:rPr>
                <w:b/>
                <w:color w:val="FF0000"/>
              </w:rPr>
              <w:t>26.351,4 m³</w:t>
            </w:r>
          </w:p>
        </w:tc>
        <w:tc>
          <w:tcPr>
            <w:tcW w:type="dxa" w:w="1440"/>
            <w:noWrap/>
            <w:shd w:val="clear" w:fill="FFE6E6"/>
          </w:tcPr>
          <w:p>
            <w:pPr>
              <w:jc w:val="left"/>
            </w:pPr>
            <w:r>
              <w:rPr>
                <w:b/>
                <w:color w:val="FF0000"/>
              </w:rPr>
              <w:t>105.223,2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IMPULSIÓN ANDEN 3-4 MATRIZ PRINCIPAL (04-03-26):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38 alerta(s) durante 32 día(s) del periodo analizado. La periodicidad de las alertas es regular (más del 50% de los días). Se identificó una proyección de filtración de 5.188 m³ ($6.469.436), lo que indica un patrón de fuga constante durante el periodo.</w:t>
      </w:r>
    </w:p>
    <w:p/>
    <w:p>
      <w:pPr>
        <w:keepNext/>
        <w:widowControl/>
        <w:spacing w:after="60"/>
      </w:pPr>
      <w:r>
        <w:rPr>
          <w:b/>
          <w:color w:val="003366"/>
        </w:rPr>
        <w:t>DÍA CON MAYOR CONSUMO NOCTURNO - IMPULSIÓN ANDEN 3-4 LOCALES GAST. (06-02-26):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28 alerta(s) durante 24 día(s) del periodo analizado. La periodicidad de las alertas es intermitente (más del 20% de los días).</w:t>
      </w:r>
    </w:p>
    <w:p/>
    <w:p>
      <w:pPr>
        <w:keepNext/>
        <w:widowControl/>
        <w:spacing w:after="60"/>
      </w:pPr>
      <w:r>
        <w:rPr>
          <w:b/>
          <w:color w:val="003366"/>
        </w:rPr>
        <w:t>DÍA CON MAYOR CONSUMO NOCTURNO - LLENADO PILETA CASCADA (06-03-26):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Llenado Pileta Cascada registró 62 alerta(s) durante 56 día(s) del periodo analizado. La periodicidad de las alertas es frecuente (más del 80% de los días). Se identificó una proyección de filtración de 114,1 m³ ($142.258), lo que indica un patrón de fuga constante durante el periodo.</w:t>
      </w:r>
    </w:p>
    <w:p/>
    <w:p>
      <w:pPr>
        <w:keepNext/>
        <w:widowControl/>
        <w:spacing w:after="60"/>
      </w:pPr>
      <w:r>
        <w:rPr>
          <w:b/>
          <w:color w:val="003366"/>
        </w:rPr>
        <w:t>DÍA CON MAYOR CONSUMO NOCTURNO - BAÑO N°5 DAMAS (28-03-26):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Baño N°5 Damas registró 52 alerta(s) durante 47 día(s) del periodo analizado. La periodicidad de las alertas es frecuente (más del 80% de los días).</w:t>
      </w:r>
    </w:p>
    <w:p/>
    <w:p>
      <w:pPr>
        <w:keepNext/>
        <w:widowControl/>
        <w:spacing w:after="60"/>
      </w:pPr>
      <w:r>
        <w:rPr>
          <w:b/>
          <w:color w:val="003366"/>
        </w:rPr>
        <w:t>DÍA CON MAYOR CONSUMO NOCTURNO - BAÑO N°6 VARONES (11-02-26):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Baño N°6 Varones registró 11 alerta(s) durante 10 día(s) del periodo analizado. La periodicidad de las alertas es puntual (menos del 20% de los días).</w:t>
      </w:r>
    </w:p>
    <w:p/>
    <w:p>
      <w:pPr>
        <w:keepNext/>
        <w:widowControl/>
        <w:spacing w:after="60"/>
      </w:pPr>
      <w:r>
        <w:rPr>
          <w:b/>
          <w:color w:val="003366"/>
        </w:rPr>
        <w:t>DÍA CON MAYOR CONSUMO NOCTURNO - DISTRITO DE LUJO DL (09-02-26):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7.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Distrito de lujo DL registró 1 alerta(s) durante 1 día(s) del periodo analizado. La periodicidad de las alertas es puntual (menos del 20% de los días). Se identificó una proyección de filtración de 44.930 m³ ($56.027.710), lo que indica un patrón de fuga constante durante el periodo.</w:t>
      </w:r>
    </w:p>
    <w:p/>
    <w:p>
      <w:pPr>
        <w:keepNext/>
        <w:widowControl/>
        <w:spacing w:after="60"/>
      </w:pPr>
      <w:r>
        <w:rPr>
          <w:b/>
          <w:color w:val="003366"/>
        </w:rPr>
        <w:t>DÍA CON MAYOR CONSUMO NOCTURNO - SALA DE BOMBA SANDIA NUEVA (28-03-26):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23 alerta(s) durante 21 día(s) del periodo analizado. La periodicidad de las alertas es intermitente (más del 20% de los días). Se identificó una proyección de filtración de 10.399,6 m³ ($12.968.301), lo que indica un patrón de fuga constante durante el periodo.</w:t>
      </w:r>
    </w:p>
    <w:p/>
    <w:p>
      <w:pPr>
        <w:keepNext/>
        <w:widowControl/>
        <w:spacing w:after="60"/>
      </w:pPr>
      <w:r>
        <w:rPr>
          <w:b/>
          <w:color w:val="003366"/>
        </w:rPr>
        <w:t>DÍA CON MAYOR CONSUMO NOCTURNO - IMPULSIÓN ANDEN 3-4 RESTAURANTE (19-03-26):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3 alerta(s) durante 3 día(s) del periodo analizado. La periodicidad de las alertas es puntual (menos del 20% de los días). Se identificó una proyección de filtración de 2.190,6 m³ ($2.731.728), lo que indica un patrón de fuga constante durante el periodo.</w:t>
      </w:r>
    </w:p>
    <w:p/>
    <w:p>
      <w:pPr>
        <w:keepNext/>
        <w:widowControl/>
        <w:spacing w:after="60"/>
      </w:pPr>
      <w:r>
        <w:rPr>
          <w:b/>
          <w:color w:val="003366"/>
        </w:rPr>
        <w:t>DÍA CON MAYOR CONSUMO NOCTURNO - PAK DL KENNEDY (31-03-26):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36.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PAK DL KENNEDY registró 1 alerta(s) durante 1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Sala de Bomba Sandia Nueva, Impulsión Anden 3-4 Matriz Principal, Impulsión Anden 3-4 Locales Gast., Impulsión Anden 3-4 Restaurante, Llenado Pileta y Llenado Pileta Cascada.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