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12 puntos de monitoreo</w:t>
        <w:br/>
        <w:t>Rango: 11-03-26 - 31-03-26</w:t>
        <w:br/>
        <w:t>Generado: 31-03-26 23:57</w:t>
      </w:r>
    </w:p>
    <w:p>
      <w:pPr>
        <w:jc w:val="both"/>
      </w:pPr>
      <w:r>
        <w:rPr>
          <w:color w:val="000000"/>
        </w:rPr>
        <w:t>Nota: el periodo analizado comienza el 11/03/2026 (posterior a la corrección de configuración del medidor ultrasónico en Distrito de Lujo (DL) y Sala de Bomba Sandia Antigua).</w:t>
      </w:r>
    </w:p>
    <w:p/>
    <w:p>
      <w:pPr>
        <w:pStyle w:val="Heading1"/>
        <w:keepNext/>
        <w:widowControl/>
        <w:spacing w:after="60"/>
      </w:pPr>
      <w:r>
        <w:rPr>
          <w:b/>
          <w:color w:val="003366"/>
        </w:rPr>
        <w:t>RESUMEN EJECUTIVO AGREGADO</w:t>
      </w:r>
    </w:p>
    <w:p>
      <w:r>
        <w:t>Puntos de monitoreo analizados: 12.</w:t>
        <w:br/>
      </w:r>
      <w:r>
        <w:t>Consumo total agregado: 33.070,8 m³.</w:t>
        <w:br/>
      </w:r>
      <w:r>
        <w:t>Consumo promedio por punto: 2.755,9 m³.</w:t>
        <w:br/>
      </w:r>
      <w:r>
        <w:t>Total de alertas registradas: 87.</w:t>
        <w:br/>
      </w:r>
      <w:r>
        <w:t>Promedio de alerta agregado: 14 m³/h.</w:t>
        <w:br/>
      </w:r>
      <w:r>
        <w:t>Proyección diaria de consumo nocturno agregada: 334,9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9.786,2 m³ durante el periodo analizado. Este valor representa un 255,1% por encima del promedio (2.755,9 m³ por punto), indicando una demanda significativamente superior a la media. Por otro lado, el punto con menor consumo es Baño N°6 Varones, con un total de 0,8 m³. Este valor representa un 100% por debajo del promedio, mostrando una demanda significativamente inferior. La diferencia entre el punto de mayor y menor consumo es considerable, siendo el consumo máximo aproximadamente 12.081,7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9.786,2</w:t>
            </w:r>
          </w:p>
        </w:tc>
        <w:tc>
          <w:tcPr>
            <w:tcW w:type="dxa" w:w="1440"/>
            <w:noWrap/>
          </w:tcPr>
          <w:p>
            <w:r>
              <w:t>0</w:t>
            </w:r>
          </w:p>
        </w:tc>
        <w:tc>
          <w:tcPr>
            <w:tcW w:type="dxa" w:w="1440"/>
            <w:noWrap/>
          </w:tcPr>
          <w:p>
            <w:pPr>
              <w:jc w:val="left"/>
            </w:pPr>
            <w:r>
              <w:t>2.379,1 m³</w:t>
            </w:r>
          </w:p>
          <w:p>
            <w:pPr>
              <w:jc w:val="left"/>
            </w:pPr>
            <w:r>
              <w:t>(21 días, 100%)</w:t>
            </w:r>
          </w:p>
        </w:tc>
        <w:tc>
          <w:tcPr>
            <w:tcW w:type="dxa" w:w="1440"/>
            <w:noWrap/>
          </w:tcPr>
          <w:p>
            <w:pPr>
              <w:jc w:val="left"/>
            </w:pPr>
            <w:r>
              <w:t>9.516,4 m³</w:t>
            </w:r>
          </w:p>
          <w:p>
            <w:pPr>
              <w:jc w:val="left"/>
            </w:pPr>
            <w:r>
              <w:t>(97,2%)</w:t>
            </w:r>
          </w:p>
        </w:tc>
      </w:tr>
      <w:tr>
        <w:tc>
          <w:tcPr>
            <w:tcW w:type="dxa" w:w="1440"/>
            <w:noWrap/>
          </w:tcPr>
          <w:p>
            <w:r>
              <w:t>2</w:t>
            </w:r>
          </w:p>
        </w:tc>
        <w:tc>
          <w:tcPr>
            <w:tcW w:type="dxa" w:w="1440"/>
            <w:noWrap/>
          </w:tcPr>
          <w:p>
            <w:r>
              <w:t>Sala de Bomba Sandia Antigua</w:t>
            </w:r>
          </w:p>
        </w:tc>
        <w:tc>
          <w:tcPr>
            <w:tcW w:type="dxa" w:w="1440"/>
            <w:noWrap/>
          </w:tcPr>
          <w:p>
            <w:r>
              <w:t>8.953,2</w:t>
            </w:r>
          </w:p>
        </w:tc>
        <w:tc>
          <w:tcPr>
            <w:tcW w:type="dxa" w:w="1440"/>
            <w:noWrap/>
          </w:tcPr>
          <w:p>
            <w:r>
              <w:t>1</w:t>
            </w:r>
          </w:p>
        </w:tc>
        <w:tc>
          <w:tcPr>
            <w:tcW w:type="dxa" w:w="1440"/>
            <w:noWrap/>
          </w:tcPr>
          <w:p>
            <w:pPr>
              <w:jc w:val="left"/>
            </w:pPr>
            <w:r>
              <w:t>2.118,4 m³</w:t>
            </w:r>
          </w:p>
          <w:p>
            <w:pPr>
              <w:jc w:val="left"/>
            </w:pPr>
            <w:r>
              <w:t>(21 días, 100%)</w:t>
            </w:r>
          </w:p>
        </w:tc>
        <w:tc>
          <w:tcPr>
            <w:tcW w:type="dxa" w:w="1440"/>
            <w:noWrap/>
          </w:tcPr>
          <w:p>
            <w:pPr>
              <w:jc w:val="left"/>
            </w:pPr>
            <w:r>
              <w:t>8.473,6 m³</w:t>
            </w:r>
          </w:p>
          <w:p>
            <w:pPr>
              <w:jc w:val="left"/>
            </w:pPr>
            <w:r>
              <w:t>(94,6%)</w:t>
            </w:r>
          </w:p>
        </w:tc>
      </w:tr>
      <w:tr>
        <w:tc>
          <w:tcPr>
            <w:tcW w:type="dxa" w:w="1440"/>
            <w:noWrap/>
          </w:tcPr>
          <w:p>
            <w:r>
              <w:t>3</w:t>
            </w:r>
          </w:p>
        </w:tc>
        <w:tc>
          <w:tcPr>
            <w:tcW w:type="dxa" w:w="1440"/>
            <w:noWrap/>
          </w:tcPr>
          <w:p>
            <w:r>
              <w:t>Sala de Bomba Sandia Nueva</w:t>
            </w:r>
          </w:p>
        </w:tc>
        <w:tc>
          <w:tcPr>
            <w:tcW w:type="dxa" w:w="1440"/>
            <w:noWrap/>
          </w:tcPr>
          <w:p>
            <w:r>
              <w:t>7.001,5</w:t>
            </w:r>
          </w:p>
        </w:tc>
        <w:tc>
          <w:tcPr>
            <w:tcW w:type="dxa" w:w="1440"/>
            <w:noWrap/>
          </w:tcPr>
          <w:p>
            <w:r>
              <w:t>10</w:t>
            </w:r>
          </w:p>
        </w:tc>
        <w:tc>
          <w:tcPr>
            <w:tcW w:type="dxa" w:w="1440"/>
            <w:noWrap/>
          </w:tcPr>
          <w:p>
            <w:pPr>
              <w:jc w:val="left"/>
            </w:pPr>
            <w:r>
              <w:t>1.402,5 m³</w:t>
            </w:r>
          </w:p>
          <w:p>
            <w:pPr>
              <w:jc w:val="left"/>
            </w:pPr>
            <w:r>
              <w:t>(21 días, 100%)</w:t>
            </w:r>
          </w:p>
        </w:tc>
        <w:tc>
          <w:tcPr>
            <w:tcW w:type="dxa" w:w="1440"/>
            <w:noWrap/>
          </w:tcPr>
          <w:p>
            <w:pPr>
              <w:jc w:val="left"/>
            </w:pPr>
            <w:r>
              <w:t>5.610 m³</w:t>
            </w:r>
          </w:p>
          <w:p>
            <w:pPr>
              <w:jc w:val="left"/>
            </w:pPr>
            <w:r>
              <w:t>(80,1%)</w:t>
            </w:r>
          </w:p>
        </w:tc>
      </w:tr>
      <w:tr>
        <w:tc>
          <w:tcPr>
            <w:tcW w:type="dxa" w:w="1440"/>
            <w:noWrap/>
          </w:tcPr>
          <w:p>
            <w:r>
              <w:t>4</w:t>
            </w:r>
          </w:p>
        </w:tc>
        <w:tc>
          <w:tcPr>
            <w:tcW w:type="dxa" w:w="1440"/>
            <w:noWrap/>
          </w:tcPr>
          <w:p>
            <w:r>
              <w:t>Impulsión Anden 3-4 Matriz Principal</w:t>
            </w:r>
          </w:p>
        </w:tc>
        <w:tc>
          <w:tcPr>
            <w:tcW w:type="dxa" w:w="1440"/>
            <w:noWrap/>
          </w:tcPr>
          <w:p>
            <w:r>
              <w:t>3.624,4</w:t>
            </w:r>
          </w:p>
        </w:tc>
        <w:tc>
          <w:tcPr>
            <w:tcW w:type="dxa" w:w="1440"/>
            <w:noWrap/>
          </w:tcPr>
          <w:p>
            <w:r>
              <w:t>15</w:t>
            </w:r>
          </w:p>
        </w:tc>
        <w:tc>
          <w:tcPr>
            <w:tcW w:type="dxa" w:w="1440"/>
            <w:noWrap/>
          </w:tcPr>
          <w:p>
            <w:pPr>
              <w:jc w:val="left"/>
            </w:pPr>
            <w:r>
              <w:t>395,1 m³</w:t>
            </w:r>
          </w:p>
          <w:p>
            <w:pPr>
              <w:jc w:val="left"/>
            </w:pPr>
            <w:r>
              <w:t>(21 días, 100%)</w:t>
            </w:r>
          </w:p>
        </w:tc>
        <w:tc>
          <w:tcPr>
            <w:tcW w:type="dxa" w:w="1440"/>
            <w:noWrap/>
          </w:tcPr>
          <w:p>
            <w:pPr>
              <w:jc w:val="left"/>
            </w:pPr>
            <w:r>
              <w:t>1.580,4 m³</w:t>
            </w:r>
          </w:p>
          <w:p>
            <w:pPr>
              <w:jc w:val="left"/>
            </w:pPr>
            <w:r>
              <w:t>(43,6%)</w:t>
            </w:r>
          </w:p>
        </w:tc>
      </w:tr>
      <w:tr>
        <w:tc>
          <w:tcPr>
            <w:tcW w:type="dxa" w:w="1440"/>
            <w:noWrap/>
          </w:tcPr>
          <w:p>
            <w:r>
              <w:t>5</w:t>
            </w:r>
          </w:p>
        </w:tc>
        <w:tc>
          <w:tcPr>
            <w:tcW w:type="dxa" w:w="1440"/>
            <w:noWrap/>
          </w:tcPr>
          <w:p>
            <w:r>
              <w:t>Impulsión Anden 3-4 Locales Gast.</w:t>
            </w:r>
          </w:p>
        </w:tc>
        <w:tc>
          <w:tcPr>
            <w:tcW w:type="dxa" w:w="1440"/>
            <w:noWrap/>
          </w:tcPr>
          <w:p>
            <w:r>
              <w:t>2.602</w:t>
            </w:r>
          </w:p>
        </w:tc>
        <w:tc>
          <w:tcPr>
            <w:tcW w:type="dxa" w:w="1440"/>
            <w:noWrap/>
          </w:tcPr>
          <w:p>
            <w:r>
              <w:t>8</w:t>
            </w:r>
          </w:p>
        </w:tc>
        <w:tc>
          <w:tcPr>
            <w:tcW w:type="dxa" w:w="1440"/>
            <w:noWrap/>
          </w:tcPr>
          <w:p>
            <w:pPr>
              <w:jc w:val="left"/>
            </w:pPr>
            <w:r>
              <w:t>172,1 m³</w:t>
            </w:r>
          </w:p>
          <w:p>
            <w:pPr>
              <w:jc w:val="left"/>
            </w:pPr>
            <w:r>
              <w:t>(21 días, 100%)</w:t>
            </w:r>
          </w:p>
        </w:tc>
        <w:tc>
          <w:tcPr>
            <w:tcW w:type="dxa" w:w="1440"/>
            <w:noWrap/>
          </w:tcPr>
          <w:p>
            <w:pPr>
              <w:jc w:val="left"/>
            </w:pPr>
            <w:r>
              <w:t>688,4 m³</w:t>
            </w:r>
          </w:p>
          <w:p>
            <w:pPr>
              <w:jc w:val="left"/>
            </w:pPr>
            <w:r>
              <w:t>(26,5%)</w:t>
            </w:r>
          </w:p>
        </w:tc>
      </w:tr>
      <w:tr>
        <w:tc>
          <w:tcPr>
            <w:tcW w:type="dxa" w:w="1440"/>
            <w:noWrap/>
          </w:tcPr>
          <w:p>
            <w:r>
              <w:t>6</w:t>
            </w:r>
          </w:p>
        </w:tc>
        <w:tc>
          <w:tcPr>
            <w:tcW w:type="dxa" w:w="1440"/>
            <w:noWrap/>
          </w:tcPr>
          <w:p>
            <w:r>
              <w:t>Impulsión Anden 3-4 Restaurante</w:t>
            </w:r>
          </w:p>
        </w:tc>
        <w:tc>
          <w:tcPr>
            <w:tcW w:type="dxa" w:w="1440"/>
            <w:noWrap/>
          </w:tcPr>
          <w:p>
            <w:r>
              <w:t>694,8</w:t>
            </w:r>
          </w:p>
        </w:tc>
        <w:tc>
          <w:tcPr>
            <w:tcW w:type="dxa" w:w="1440"/>
            <w:noWrap/>
          </w:tcPr>
          <w:p>
            <w:r>
              <w:t>2</w:t>
            </w:r>
          </w:p>
        </w:tc>
        <w:tc>
          <w:tcPr>
            <w:tcW w:type="dxa" w:w="1440"/>
            <w:noWrap/>
          </w:tcPr>
          <w:p>
            <w:pPr>
              <w:jc w:val="left"/>
            </w:pPr>
            <w:r>
              <w:t>165,6 m³</w:t>
            </w:r>
          </w:p>
          <w:p>
            <w:pPr>
              <w:jc w:val="left"/>
            </w:pPr>
            <w:r>
              <w:t>(21 días, 100%)</w:t>
            </w:r>
          </w:p>
        </w:tc>
        <w:tc>
          <w:tcPr>
            <w:tcW w:type="dxa" w:w="1440"/>
            <w:noWrap/>
          </w:tcPr>
          <w:p>
            <w:pPr>
              <w:jc w:val="left"/>
            </w:pPr>
            <w:r>
              <w:t>662,5 m³</w:t>
            </w:r>
          </w:p>
          <w:p>
            <w:pPr>
              <w:jc w:val="left"/>
            </w:pPr>
            <w:r>
              <w:t>(95,4%)</w:t>
            </w:r>
          </w:p>
        </w:tc>
      </w:tr>
      <w:tr>
        <w:tc>
          <w:tcPr>
            <w:tcW w:type="dxa" w:w="1440"/>
            <w:noWrap/>
          </w:tcPr>
          <w:p>
            <w:r>
              <w:t>7</w:t>
            </w:r>
          </w:p>
        </w:tc>
        <w:tc>
          <w:tcPr>
            <w:tcW w:type="dxa" w:w="1440"/>
            <w:noWrap/>
          </w:tcPr>
          <w:p>
            <w:r>
              <w:t>PAK BAZAR GOURMET</w:t>
            </w:r>
          </w:p>
        </w:tc>
        <w:tc>
          <w:tcPr>
            <w:tcW w:type="dxa" w:w="1440"/>
            <w:noWrap/>
          </w:tcPr>
          <w:p>
            <w:r>
              <w:t>262,8</w:t>
            </w:r>
          </w:p>
        </w:tc>
        <w:tc>
          <w:tcPr>
            <w:tcW w:type="dxa" w:w="1440"/>
            <w:noWrap/>
          </w:tcPr>
          <w:p>
            <w:r>
              <w:t>0</w:t>
            </w:r>
          </w:p>
        </w:tc>
        <w:tc>
          <w:tcPr>
            <w:tcW w:type="dxa" w:w="1440"/>
            <w:noWrap/>
          </w:tcPr>
          <w:p>
            <w:pPr>
              <w:jc w:val="left"/>
            </w:pPr>
            <w:r>
              <w:t>41,5 m³</w:t>
            </w:r>
          </w:p>
          <w:p>
            <w:pPr>
              <w:jc w:val="left"/>
            </w:pPr>
            <w:r>
              <w:t>(1 días, 4,8%)</w:t>
            </w:r>
          </w:p>
        </w:tc>
        <w:tc>
          <w:tcPr>
            <w:tcW w:type="dxa" w:w="1440"/>
            <w:noWrap/>
          </w:tcPr>
          <w:p>
            <w:pPr>
              <w:jc w:val="left"/>
            </w:pPr>
            <w:r>
              <w:t>0,0 m³</w:t>
            </w:r>
          </w:p>
          <w:p>
            <w:pPr>
              <w:jc w:val="left"/>
            </w:pPr>
            <w:r>
              <w:t>(0,0%)</w:t>
            </w:r>
          </w:p>
        </w:tc>
      </w:tr>
      <w:tr>
        <w:tc>
          <w:tcPr>
            <w:tcW w:type="dxa" w:w="1440"/>
            <w:noWrap/>
          </w:tcPr>
          <w:p>
            <w:r>
              <w:t>8</w:t>
            </w:r>
          </w:p>
        </w:tc>
        <w:tc>
          <w:tcPr>
            <w:tcW w:type="dxa" w:w="1440"/>
            <w:noWrap/>
          </w:tcPr>
          <w:p>
            <w:r>
              <w:t>Llenado Pileta</w:t>
            </w:r>
          </w:p>
        </w:tc>
        <w:tc>
          <w:tcPr>
            <w:tcW w:type="dxa" w:w="1440"/>
            <w:noWrap/>
          </w:tcPr>
          <w:p>
            <w:r>
              <w:t>94,3</w:t>
            </w:r>
          </w:p>
        </w:tc>
        <w:tc>
          <w:tcPr>
            <w:tcW w:type="dxa" w:w="1440"/>
            <w:noWrap/>
          </w:tcPr>
          <w:p>
            <w:r>
              <w:t>6</w:t>
            </w:r>
          </w:p>
        </w:tc>
        <w:tc>
          <w:tcPr>
            <w:tcW w:type="dxa" w:w="1440"/>
            <w:noWrap/>
          </w:tcPr>
          <w:p>
            <w:pPr>
              <w:jc w:val="left"/>
            </w:pPr>
            <w:r>
              <w:t>0,5 m³</w:t>
            </w:r>
          </w:p>
          <w:p>
            <w:pPr>
              <w:jc w:val="left"/>
            </w:pPr>
            <w:r>
              <w:t>(21 días, 100%)</w:t>
            </w:r>
          </w:p>
        </w:tc>
        <w:tc>
          <w:tcPr>
            <w:tcW w:type="dxa" w:w="1440"/>
            <w:noWrap/>
          </w:tcPr>
          <w:p>
            <w:pPr>
              <w:jc w:val="left"/>
            </w:pPr>
            <w:r>
              <w:t>2 m³</w:t>
            </w:r>
          </w:p>
          <w:p>
            <w:pPr>
              <w:jc w:val="left"/>
            </w:pPr>
            <w:r>
              <w:t>(2,1%)</w:t>
            </w:r>
          </w:p>
        </w:tc>
      </w:tr>
      <w:tr>
        <w:tc>
          <w:tcPr>
            <w:tcW w:type="dxa" w:w="1440"/>
            <w:noWrap/>
          </w:tcPr>
          <w:p>
            <w:r>
              <w:t>9</w:t>
            </w:r>
          </w:p>
        </w:tc>
        <w:tc>
          <w:tcPr>
            <w:tcW w:type="dxa" w:w="1440"/>
            <w:noWrap/>
          </w:tcPr>
          <w:p>
            <w:r>
              <w:t>Llenado Pileta Cascada</w:t>
            </w:r>
          </w:p>
        </w:tc>
        <w:tc>
          <w:tcPr>
            <w:tcW w:type="dxa" w:w="1440"/>
            <w:noWrap/>
          </w:tcPr>
          <w:p>
            <w:r>
              <w:t>26,9</w:t>
            </w:r>
          </w:p>
        </w:tc>
        <w:tc>
          <w:tcPr>
            <w:tcW w:type="dxa" w:w="1440"/>
            <w:noWrap/>
          </w:tcPr>
          <w:p>
            <w:r>
              <w:t>21</w:t>
            </w:r>
          </w:p>
        </w:tc>
        <w:tc>
          <w:tcPr>
            <w:tcW w:type="dxa" w:w="1440"/>
            <w:noWrap/>
          </w:tcPr>
          <w:p>
            <w:pPr>
              <w:jc w:val="left"/>
            </w:pPr>
            <w:r>
              <w:t>7,9 m³</w:t>
            </w:r>
          </w:p>
          <w:p>
            <w:pPr>
              <w:jc w:val="left"/>
            </w:pPr>
            <w:r>
              <w:t>(21 días, 100%)</w:t>
            </w:r>
          </w:p>
        </w:tc>
        <w:tc>
          <w:tcPr>
            <w:tcW w:type="dxa" w:w="1440"/>
            <w:noWrap/>
          </w:tcPr>
          <w:p>
            <w:pPr>
              <w:jc w:val="left"/>
            </w:pPr>
            <w:r>
              <w:t>31,6 m³</w:t>
            </w:r>
          </w:p>
          <w:p>
            <w:pPr>
              <w:jc w:val="left"/>
            </w:pPr>
            <w:r>
              <w:t>(117,4%)</w:t>
            </w:r>
          </w:p>
        </w:tc>
      </w:tr>
      <w:tr>
        <w:tc>
          <w:tcPr>
            <w:tcW w:type="dxa" w:w="1440"/>
            <w:noWrap/>
          </w:tcPr>
          <w:p>
            <w:r>
              <w:t>10</w:t>
            </w:r>
          </w:p>
        </w:tc>
        <w:tc>
          <w:tcPr>
            <w:tcW w:type="dxa" w:w="1440"/>
            <w:noWrap/>
          </w:tcPr>
          <w:p>
            <w:r>
              <w:t>PAK DL KENNEDY</w:t>
            </w:r>
          </w:p>
        </w:tc>
        <w:tc>
          <w:tcPr>
            <w:tcW w:type="dxa" w:w="1440"/>
            <w:noWrap/>
          </w:tcPr>
          <w:p>
            <w:r>
              <w:t>17,8</w:t>
            </w:r>
          </w:p>
        </w:tc>
        <w:tc>
          <w:tcPr>
            <w:tcW w:type="dxa" w:w="1440"/>
            <w:noWrap/>
          </w:tcPr>
          <w:p>
            <w:r>
              <w:t>1</w:t>
            </w:r>
          </w:p>
        </w:tc>
        <w:tc>
          <w:tcPr>
            <w:tcW w:type="dxa" w:w="1440"/>
            <w:noWrap/>
          </w:tcPr>
          <w:p>
            <w:pPr>
              <w:jc w:val="left"/>
            </w:pPr>
            <w:r>
              <w:t>3 m³</w:t>
            </w:r>
          </w:p>
          <w:p>
            <w:pPr>
              <w:jc w:val="left"/>
            </w:pPr>
            <w:r>
              <w:t>(1 días, 4,8%)</w:t>
            </w:r>
          </w:p>
        </w:tc>
        <w:tc>
          <w:tcPr>
            <w:tcW w:type="dxa" w:w="1440"/>
            <w:noWrap/>
          </w:tcPr>
          <w:p>
            <w:pPr>
              <w:jc w:val="left"/>
            </w:pPr>
            <w:r>
              <w:t>0,0 m³</w:t>
            </w:r>
          </w:p>
          <w:p>
            <w:pPr>
              <w:jc w:val="left"/>
            </w:pPr>
            <w:r>
              <w:t>(0,0%)</w:t>
            </w:r>
          </w:p>
        </w:tc>
      </w:tr>
      <w:tr>
        <w:tc>
          <w:tcPr>
            <w:tcW w:type="dxa" w:w="1440"/>
            <w:noWrap/>
          </w:tcPr>
          <w:p>
            <w:r>
              <w:t>11</w:t>
            </w:r>
          </w:p>
        </w:tc>
        <w:tc>
          <w:tcPr>
            <w:tcW w:type="dxa" w:w="1440"/>
            <w:noWrap/>
          </w:tcPr>
          <w:p>
            <w:r>
              <w:t>Baño N°5 Damas</w:t>
            </w:r>
          </w:p>
        </w:tc>
        <w:tc>
          <w:tcPr>
            <w:tcW w:type="dxa" w:w="1440"/>
            <w:noWrap/>
          </w:tcPr>
          <w:p>
            <w:r>
              <w:t>6,1</w:t>
            </w:r>
          </w:p>
        </w:tc>
        <w:tc>
          <w:tcPr>
            <w:tcW w:type="dxa" w:w="1440"/>
            <w:noWrap/>
          </w:tcPr>
          <w:p>
            <w:r>
              <w:t>19</w:t>
            </w:r>
          </w:p>
        </w:tc>
        <w:tc>
          <w:tcPr>
            <w:tcW w:type="dxa" w:w="1440"/>
            <w:noWrap/>
          </w:tcPr>
          <w:p>
            <w:pPr>
              <w:jc w:val="left"/>
            </w:pPr>
            <w:r>
              <w:t>0,8 m³</w:t>
            </w:r>
          </w:p>
          <w:p>
            <w:pPr>
              <w:jc w:val="left"/>
            </w:pPr>
            <w:r>
              <w:t>(17 días, 81%)</w:t>
            </w:r>
          </w:p>
        </w:tc>
        <w:tc>
          <w:tcPr>
            <w:tcW w:type="dxa" w:w="1440"/>
            <w:noWrap/>
          </w:tcPr>
          <w:p>
            <w:pPr>
              <w:jc w:val="left"/>
            </w:pPr>
            <w:r>
              <w:t>0,0 m³</w:t>
            </w:r>
          </w:p>
          <w:p>
            <w:pPr>
              <w:jc w:val="left"/>
            </w:pPr>
            <w:r>
              <w:t>(0,0%)</w:t>
            </w:r>
          </w:p>
        </w:tc>
      </w:tr>
      <w:tr>
        <w:tc>
          <w:tcPr>
            <w:tcW w:type="dxa" w:w="1440"/>
            <w:noWrap/>
          </w:tcPr>
          <w:p>
            <w:r>
              <w:t>12</w:t>
            </w:r>
          </w:p>
        </w:tc>
        <w:tc>
          <w:tcPr>
            <w:tcW w:type="dxa" w:w="1440"/>
            <w:noWrap/>
          </w:tcPr>
          <w:p>
            <w:r>
              <w:t>Baño N°6 Varones</w:t>
            </w:r>
          </w:p>
        </w:tc>
        <w:tc>
          <w:tcPr>
            <w:tcW w:type="dxa" w:w="1440"/>
            <w:noWrap/>
          </w:tcPr>
          <w:p>
            <w:r>
              <w:t>0,8</w:t>
            </w:r>
          </w:p>
        </w:tc>
        <w:tc>
          <w:tcPr>
            <w:tcW w:type="dxa" w:w="1440"/>
            <w:noWrap/>
          </w:tcPr>
          <w:p>
            <w:r>
              <w:t>4</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33.070,8</w:t>
            </w:r>
          </w:p>
        </w:tc>
        <w:tc>
          <w:tcPr>
            <w:tcW w:type="dxa" w:w="1440"/>
            <w:noWrap/>
            <w:shd w:val="clear" w:fill="FFE6E6"/>
          </w:tcPr>
          <w:p>
            <w:pPr>
              <w:jc w:val="left"/>
            </w:pPr>
            <w:r>
              <w:rPr>
                <w:b/>
                <w:color w:val="FF0000"/>
              </w:rPr>
              <w:t>87</w:t>
            </w:r>
          </w:p>
        </w:tc>
        <w:tc>
          <w:tcPr>
            <w:tcW w:type="dxa" w:w="1440"/>
            <w:noWrap/>
            <w:shd w:val="clear" w:fill="FFE6E6"/>
          </w:tcPr>
          <w:p>
            <w:pPr>
              <w:jc w:val="left"/>
            </w:pPr>
            <w:r>
              <w:rPr>
                <w:b/>
                <w:color w:val="FF0000"/>
              </w:rPr>
              <w:t>6.686,5 m³</w:t>
            </w:r>
          </w:p>
        </w:tc>
        <w:tc>
          <w:tcPr>
            <w:tcW w:type="dxa" w:w="1440"/>
            <w:noWrap/>
            <w:shd w:val="clear" w:fill="FFE6E6"/>
          </w:tcPr>
          <w:p>
            <w:pPr>
              <w:jc w:val="left"/>
            </w:pPr>
            <w:r>
              <w:rPr>
                <w:b/>
                <w:color w:val="FF0000"/>
              </w:rPr>
              <w:t>26.564,9 m³</w:t>
            </w:r>
          </w:p>
        </w:tc>
      </w:tr>
    </w:tbl>
    <w:p/>
    <w:p>
      <w:pPr>
        <w:keepNext/>
        <w:widowControl/>
        <w:spacing w:after="60"/>
        <w:jc w:val="center"/>
      </w:pPr>
      <w:r>
        <w:drawing>
          <wp:inline xmlns:a="http://schemas.openxmlformats.org/drawingml/2006/main" xmlns:pic="http://schemas.openxmlformats.org/drawingml/2006/picture">
            <wp:extent cx="5486400" cy="3436588"/>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6588"/>
                    </a:xfrm>
                    <a:prstGeom prst="rect"/>
                  </pic:spPr>
                </pic:pic>
              </a:graphicData>
            </a:graphic>
          </wp:inline>
        </w:drawing>
      </w:r>
    </w:p>
    <w:p/>
    <w:p>
      <w:pPr>
        <w:keepNext/>
        <w:widowControl/>
        <w:spacing w:after="60"/>
      </w:pPr>
      <w:r>
        <w:rPr>
          <w:b/>
          <w:color w:val="003366"/>
        </w:rPr>
        <w:t>DÍA CON MAYOR CONSUMO NOCTURNO - IMPULSIÓN ANDEN 3-4 MATRIZ PRINCIPAL (12-03-26):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Anden 3-4 Matriz Principal registró 15 alerta(s) durante 11 día(s) del periodo analizado. La periodicidad de las alertas es regular (más del 50% de los días). Se identificó una proyección de filtración de 1.580,4 m³ ($1.970.759), lo que indica un patrón de fuga constante durante el periodo.</w:t>
      </w:r>
    </w:p>
    <w:p/>
    <w:p>
      <w:pPr>
        <w:keepNext/>
        <w:widowControl/>
        <w:spacing w:after="60"/>
      </w:pPr>
      <w:r>
        <w:rPr>
          <w:b/>
          <w:color w:val="003366"/>
        </w:rPr>
        <w:t>DÍA CON MAYOR CONSUMO NOCTURNO - IMPULSIÓN ANDEN 3-4 LOCALES GAST. (14-03-26):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Anden 3-4 Locales Gast. registró 8 alerta(s) durante 7 día(s) del periodo analizado. La periodicidad de las alertas es intermitente (más del 20% de los días). Se identificó una proyección de filtración de 688,4 m³ ($858.435), lo que indica un patrón de fuga constante durante el periodo.</w:t>
      </w:r>
    </w:p>
    <w:p/>
    <w:p>
      <w:pPr>
        <w:keepNext/>
        <w:widowControl/>
        <w:spacing w:after="60"/>
      </w:pPr>
      <w:r>
        <w:rPr>
          <w:b/>
          <w:color w:val="003366"/>
        </w:rPr>
        <w:t>DÍA CON MAYOR CONSUMO NOCTURNO - SALA DE BOMBA SANDIA ANTIGUA (23-03-26):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2.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Sala de Bomba Sandia Antigua registró 1 alerta(s) durante 1 día(s) del periodo analizado. La periodicidad de las alertas es puntual (menos del 20% de los días). Se identificó una proyección de filtración de 8.473,6 m³ ($10.566.579), lo que indica un patrón de fuga constante durante el periodo.</w:t>
      </w:r>
    </w:p>
    <w:p/>
    <w:p>
      <w:pPr>
        <w:keepNext/>
        <w:widowControl/>
        <w:spacing w:after="60"/>
      </w:pPr>
      <w:r>
        <w:rPr>
          <w:b/>
          <w:color w:val="003366"/>
        </w:rPr>
        <w:t>DÍA CON MAYOR CONSUMO NOCTURNO - LLENADO PILETA (11-03-26):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3.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Llenado Pileta registró 6 alerta(s) durante 6 día(s) del periodo analizado. La periodicidad de las alertas es intermitente (más del 20% de los días). Se identificó una proyección de filtración de 2 m³ ($2.494), lo que indica un patrón de fuga constante durante el periodo.</w:t>
      </w:r>
    </w:p>
    <w:p/>
    <w:p>
      <w:pPr>
        <w:keepNext/>
        <w:widowControl/>
        <w:spacing w:after="60"/>
      </w:pPr>
      <w:r>
        <w:rPr>
          <w:b/>
          <w:color w:val="003366"/>
        </w:rPr>
        <w:t>DÍA CON MAYOR CONSUMO NOCTURNO - LLENADO PILETA CASCADA (11-03-26):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Llenado Pileta Cascada registró 21 alerta(s) durante 21 día(s) del periodo analizado. La periodicidad de las alertas es diaria (todos los días del periodo). Se identificó una proyección de filtración de 31,6 m³ ($39.355), lo que indica un patrón de fuga constante durante el periodo.</w:t>
      </w:r>
    </w:p>
    <w:p/>
    <w:p>
      <w:pPr>
        <w:keepNext/>
        <w:widowControl/>
        <w:spacing w:after="60"/>
      </w:pPr>
      <w:r>
        <w:rPr>
          <w:b/>
          <w:color w:val="003366"/>
        </w:rPr>
        <w:t>DÍA CON MAYOR CONSUMO NOCTURNO - BAÑO N°5 DAMAS (28-03-26):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5.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Baño N°5 Damas registró 19 alerta(s) durante 17 día(s) del periodo analizado. La periodicidad de las alertas es frecuente (más del 80% de los días).</w:t>
      </w:r>
    </w:p>
    <w:p/>
    <w:p>
      <w:pPr>
        <w:keepNext/>
        <w:widowControl/>
        <w:spacing w:after="60"/>
      </w:pPr>
      <w:r>
        <w:rPr>
          <w:b/>
          <w:color w:val="003366"/>
        </w:rPr>
        <w:t>DÍA CON MAYOR CONSUMO NOCTURNO - SALA DE BOMBA SANDIA NUEVA (28-03-26):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8.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Sala de Bomba Sandia Nueva registró 10 alerta(s) durante 10 día(s) del periodo analizado. La periodicidad de las alertas es intermitente (más del 20% de los días). Se identificó una proyección de filtración de 5.610 m³ ($6.995.670), lo que indica un patrón de fuga constante durante el periodo.</w:t>
      </w:r>
    </w:p>
    <w:p/>
    <w:p>
      <w:pPr>
        <w:keepNext/>
        <w:widowControl/>
        <w:spacing w:after="60"/>
      </w:pPr>
      <w:r>
        <w:rPr>
          <w:b/>
          <w:color w:val="003366"/>
        </w:rPr>
        <w:t>DÍA CON MAYOR CONSUMO NOCTURNO - IMPULSIÓN ANDEN 3-4 RESTAURANTE (19-03-26):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29.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2 alerta(s) durante 2 día(s) del periodo analizado. La periodicidad de las alertas es puntual (menos del 20% de los días). Se identificó una proyección de filtración de 662,5 m³ ($826.162), lo que indica un patrón de fuga constante durante el periodo.</w:t>
      </w:r>
    </w:p>
    <w:p/>
    <w:p>
      <w:pPr>
        <w:keepNext/>
        <w:widowControl/>
        <w:spacing w:after="60"/>
      </w:pPr>
      <w:r>
        <w:rPr>
          <w:b/>
          <w:color w:val="003366"/>
        </w:rPr>
        <w:t>DÍA CON MAYOR CONSUMO NOCTURNO - PAK DL KENNEDY (31-03-26):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25_36.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PAK DL KENNEDY registró 1 alerta(s) durante 1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Sala de Bomba Sandia Nueva, Impulsión Anden 3-4 Matriz Principal, Impulsión Anden 3-4 Locales Gast., Impulsión Anden 3-4 Restaurante, Llenado Pileta y Llenado Pileta Cascada.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