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Kennedy</w:t>
      </w:r>
    </w:p>
    <w:p>
      <w:pPr>
        <w:jc w:val="center"/>
      </w:pPr>
      <w:r>
        <w:t>MONITOREO WES</w:t>
        <w:br/>
        <w:t>Análisis consolidado de 12 puntos de monitoreo</w:t>
        <w:br/>
        <w:t>Rango: 01-03-26 - 31-05-26</w:t>
        <w:br/>
        <w:t>Generado: 08-06-26 23:13</w:t>
      </w:r>
    </w:p>
    <w:p>
      <w:pPr>
        <w:pStyle w:val="Heading1"/>
        <w:keepNext/>
        <w:widowControl/>
        <w:spacing w:after="60"/>
      </w:pPr>
      <w:r>
        <w:rPr>
          <w:b/>
          <w:color w:val="003366"/>
        </w:rPr>
        <w:t>RESUMEN EJECUTIVO AGREGADO</w:t>
      </w:r>
    </w:p>
    <w:p>
      <w:r>
        <w:t>Puntos de monitoreo analizados: 12.</w:t>
        <w:br/>
      </w:r>
      <w:r>
        <w:t>Consumo total agregado: 151.232 m³.</w:t>
        <w:br/>
      </w:r>
      <w:r>
        <w:t>Consumo promedio por punto: 12.602,7 m³.</w:t>
        <w:br/>
      </w:r>
      <w:r>
        <w:t>Total de alertas registradas: 487.</w:t>
        <w:br/>
      </w:r>
      <w:r>
        <w:t>Promedio de alerta agregado: 9,7 m³/h.</w:t>
        <w:br/>
      </w:r>
      <w:r>
        <w:t>Proyección diaria de consumo nocturno agregada: 233,1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7091"/>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7091"/>
                    </a:xfrm>
                    <a:prstGeom prst="rect"/>
                  </pic:spPr>
                </pic:pic>
              </a:graphicData>
            </a:graphic>
          </wp:inline>
        </w:drawing>
      </w:r>
    </w:p>
    <w:p/>
    <w:p>
      <w:pPr>
        <w:jc w:val="both"/>
      </w:pPr>
      <w:r>
        <w:rPr>
          <w:color w:val="000000"/>
        </w:rPr>
        <w:t>El análisis comparativo revela que el punto con mayor consumo es Distrito de lujo DL, con un total de 43.731,3 m³ durante el periodo analizado. Este valor representa un 247% por encima del promedio (12.602,7 m³ por punto), indicando una demanda significativamente superior a la media. Por otro lado, el punto con menor consumo es Baño N°6 Varones, con un total de 1,8 m³. Este valor representa un 100% por debajo del promedio, mostrando una demanda significativamente inferior. La diferencia entre el punto de mayor y menor consumo es considerable, siendo el consumo máximo aproximadamente 24.706,9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29"/>
        <w:gridCol w:w="1937"/>
        <w:gridCol w:w="1051"/>
        <w:gridCol w:w="1051"/>
        <w:gridCol w:w="1399"/>
        <w:gridCol w:w="129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Distrito de lujo DL</w:t>
            </w:r>
          </w:p>
        </w:tc>
        <w:tc>
          <w:tcPr>
            <w:tcW w:type="dxa" w:w="1440"/>
            <w:noWrap/>
          </w:tcPr>
          <w:p>
            <w:r>
              <w:t>43.731,3</w:t>
            </w:r>
          </w:p>
        </w:tc>
        <w:tc>
          <w:tcPr>
            <w:tcW w:type="dxa" w:w="1440"/>
            <w:noWrap/>
          </w:tcPr>
          <w:p>
            <w:r>
              <w:t>12</w:t>
            </w:r>
          </w:p>
        </w:tc>
        <w:tc>
          <w:tcPr>
            <w:tcW w:type="dxa" w:w="1440"/>
            <w:noWrap/>
          </w:tcPr>
          <w:p>
            <w:pPr>
              <w:jc w:val="left"/>
            </w:pPr>
            <w:r>
              <w:t>9.956,5 m³</w:t>
            </w:r>
          </w:p>
          <w:p>
            <w:pPr>
              <w:jc w:val="left"/>
            </w:pPr>
            <w:r>
              <w:t>(92 días, 100%)</w:t>
            </w:r>
          </w:p>
        </w:tc>
        <w:tc>
          <w:tcPr>
            <w:tcW w:type="dxa" w:w="1440"/>
            <w:noWrap/>
          </w:tcPr>
          <w:p>
            <w:pPr>
              <w:jc w:val="left"/>
            </w:pPr>
            <w:r>
              <w:t>34.136,6 m³</w:t>
            </w:r>
          </w:p>
          <w:p>
            <w:pPr>
              <w:jc w:val="left"/>
            </w:pPr>
            <w:r>
              <w:t>(78,1%)</w:t>
            </w:r>
          </w:p>
        </w:tc>
      </w:tr>
      <w:tr>
        <w:tc>
          <w:tcPr>
            <w:tcW w:type="dxa" w:w="1440"/>
            <w:noWrap/>
          </w:tcPr>
          <w:p>
            <w:r>
              <w:t>2</w:t>
            </w:r>
          </w:p>
        </w:tc>
        <w:tc>
          <w:tcPr>
            <w:tcW w:type="dxa" w:w="1440"/>
            <w:noWrap/>
          </w:tcPr>
          <w:p>
            <w:r>
              <w:t>Sala de Bomba Sandia Antigua</w:t>
            </w:r>
          </w:p>
        </w:tc>
        <w:tc>
          <w:tcPr>
            <w:tcW w:type="dxa" w:w="1440"/>
            <w:noWrap/>
          </w:tcPr>
          <w:p>
            <w:r>
              <w:t>39.930,9</w:t>
            </w:r>
          </w:p>
        </w:tc>
        <w:tc>
          <w:tcPr>
            <w:tcW w:type="dxa" w:w="1440"/>
            <w:noWrap/>
          </w:tcPr>
          <w:p>
            <w:r>
              <w:t>14</w:t>
            </w:r>
          </w:p>
        </w:tc>
        <w:tc>
          <w:tcPr>
            <w:tcW w:type="dxa" w:w="1440"/>
            <w:noWrap/>
          </w:tcPr>
          <w:p>
            <w:pPr>
              <w:jc w:val="left"/>
            </w:pPr>
            <w:r>
              <w:t>2.250,6 m³</w:t>
            </w:r>
          </w:p>
          <w:p>
            <w:pPr>
              <w:jc w:val="left"/>
            </w:pPr>
            <w:r>
              <w:t>(14 días, 100%)</w:t>
            </w:r>
          </w:p>
        </w:tc>
        <w:tc>
          <w:tcPr>
            <w:tcW w:type="dxa" w:w="1440"/>
            <w:noWrap/>
          </w:tcPr>
          <w:p>
            <w:pPr>
              <w:jc w:val="left"/>
            </w:pPr>
            <w:r>
              <w:t>7.716,4 m³</w:t>
            </w:r>
          </w:p>
          <w:p>
            <w:pPr>
              <w:jc w:val="left"/>
            </w:pPr>
            <w:r>
              <w:t>(19,3%)</w:t>
            </w:r>
          </w:p>
        </w:tc>
      </w:tr>
      <w:tr>
        <w:tc>
          <w:tcPr>
            <w:tcW w:type="dxa" w:w="1440"/>
            <w:noWrap/>
          </w:tcPr>
          <w:p>
            <w:r>
              <w:t>3</w:t>
            </w:r>
          </w:p>
        </w:tc>
        <w:tc>
          <w:tcPr>
            <w:tcW w:type="dxa" w:w="1440"/>
            <w:noWrap/>
          </w:tcPr>
          <w:p>
            <w:r>
              <w:t>Sala de Bomba Sandia Nueva</w:t>
            </w:r>
          </w:p>
        </w:tc>
        <w:tc>
          <w:tcPr>
            <w:tcW w:type="dxa" w:w="1440"/>
            <w:noWrap/>
          </w:tcPr>
          <w:p>
            <w:r>
              <w:t>22.630,5</w:t>
            </w:r>
          </w:p>
        </w:tc>
        <w:tc>
          <w:tcPr>
            <w:tcW w:type="dxa" w:w="1440"/>
            <w:noWrap/>
          </w:tcPr>
          <w:p>
            <w:r>
              <w:t>41</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4</w:t>
            </w:r>
          </w:p>
        </w:tc>
        <w:tc>
          <w:tcPr>
            <w:tcW w:type="dxa" w:w="1440"/>
            <w:noWrap/>
          </w:tcPr>
          <w:p>
            <w:r>
              <w:t>PAK BAZAR GOURMET</w:t>
            </w:r>
          </w:p>
        </w:tc>
        <w:tc>
          <w:tcPr>
            <w:tcW w:type="dxa" w:w="1440"/>
            <w:noWrap/>
          </w:tcPr>
          <w:p>
            <w:r>
              <w:t>17.250,8</w:t>
            </w:r>
          </w:p>
        </w:tc>
        <w:tc>
          <w:tcPr>
            <w:tcW w:type="dxa" w:w="1440"/>
            <w:noWrap/>
          </w:tcPr>
          <w:p>
            <w:r>
              <w:t>35</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5</w:t>
            </w:r>
          </w:p>
        </w:tc>
        <w:tc>
          <w:tcPr>
            <w:tcW w:type="dxa" w:w="1440"/>
            <w:noWrap/>
          </w:tcPr>
          <w:p>
            <w:r>
              <w:t>Impulsión Anden 3-4 Matriz Principal</w:t>
            </w:r>
          </w:p>
        </w:tc>
        <w:tc>
          <w:tcPr>
            <w:tcW w:type="dxa" w:w="1440"/>
            <w:noWrap/>
          </w:tcPr>
          <w:p>
            <w:r>
              <w:t>13.401,1</w:t>
            </w:r>
          </w:p>
        </w:tc>
        <w:tc>
          <w:tcPr>
            <w:tcW w:type="dxa" w:w="1440"/>
            <w:noWrap/>
          </w:tcPr>
          <w:p>
            <w:r>
              <w:t>66</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6</w:t>
            </w:r>
          </w:p>
        </w:tc>
        <w:tc>
          <w:tcPr>
            <w:tcW w:type="dxa" w:w="1440"/>
            <w:noWrap/>
          </w:tcPr>
          <w:p>
            <w:r>
              <w:t>Impulsión Anden 3-4 Locales Gast.</w:t>
            </w:r>
          </w:p>
        </w:tc>
        <w:tc>
          <w:tcPr>
            <w:tcW w:type="dxa" w:w="1440"/>
            <w:noWrap/>
          </w:tcPr>
          <w:p>
            <w:r>
              <w:t>11.194,6</w:t>
            </w:r>
          </w:p>
        </w:tc>
        <w:tc>
          <w:tcPr>
            <w:tcW w:type="dxa" w:w="1440"/>
            <w:noWrap/>
          </w:tcPr>
          <w:p>
            <w:r>
              <w:t>57</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7</w:t>
            </w:r>
          </w:p>
        </w:tc>
        <w:tc>
          <w:tcPr>
            <w:tcW w:type="dxa" w:w="1440"/>
            <w:noWrap/>
          </w:tcPr>
          <w:p>
            <w:r>
              <w:t>Impulsión Anden 3-4 Restaurante</w:t>
            </w:r>
          </w:p>
        </w:tc>
        <w:tc>
          <w:tcPr>
            <w:tcW w:type="dxa" w:w="1440"/>
            <w:noWrap/>
          </w:tcPr>
          <w:p>
            <w:r>
              <w:t>1.753</w:t>
            </w:r>
          </w:p>
        </w:tc>
        <w:tc>
          <w:tcPr>
            <w:tcW w:type="dxa" w:w="1440"/>
            <w:noWrap/>
          </w:tcPr>
          <w:p>
            <w:r>
              <w:t>8</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8</w:t>
            </w:r>
          </w:p>
        </w:tc>
        <w:tc>
          <w:tcPr>
            <w:tcW w:type="dxa" w:w="1440"/>
            <w:noWrap/>
          </w:tcPr>
          <w:p>
            <w:r>
              <w:t>PAK DL KENNEDY</w:t>
            </w:r>
          </w:p>
        </w:tc>
        <w:tc>
          <w:tcPr>
            <w:tcW w:type="dxa" w:w="1440"/>
            <w:noWrap/>
          </w:tcPr>
          <w:p>
            <w:r>
              <w:t>1.049,7</w:t>
            </w:r>
          </w:p>
        </w:tc>
        <w:tc>
          <w:tcPr>
            <w:tcW w:type="dxa" w:w="1440"/>
            <w:noWrap/>
          </w:tcPr>
          <w:p>
            <w:r>
              <w:t>57</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9</w:t>
            </w:r>
          </w:p>
        </w:tc>
        <w:tc>
          <w:tcPr>
            <w:tcW w:type="dxa" w:w="1440"/>
            <w:noWrap/>
          </w:tcPr>
          <w:p>
            <w:r>
              <w:t>Llenado Pileta</w:t>
            </w:r>
          </w:p>
        </w:tc>
        <w:tc>
          <w:tcPr>
            <w:tcW w:type="dxa" w:w="1440"/>
            <w:noWrap/>
          </w:tcPr>
          <w:p>
            <w:r>
              <w:t>160,8</w:t>
            </w:r>
          </w:p>
        </w:tc>
        <w:tc>
          <w:tcPr>
            <w:tcW w:type="dxa" w:w="1440"/>
            <w:noWrap/>
          </w:tcPr>
          <w:p>
            <w:r>
              <w:t>68</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10</w:t>
            </w:r>
          </w:p>
        </w:tc>
        <w:tc>
          <w:tcPr>
            <w:tcW w:type="dxa" w:w="1440"/>
            <w:noWrap/>
          </w:tcPr>
          <w:p>
            <w:r>
              <w:t>Llenado Pileta Cascada</w:t>
            </w:r>
          </w:p>
        </w:tc>
        <w:tc>
          <w:tcPr>
            <w:tcW w:type="dxa" w:w="1440"/>
            <w:noWrap/>
          </w:tcPr>
          <w:p>
            <w:r>
              <w:t>118,9</w:t>
            </w:r>
          </w:p>
        </w:tc>
        <w:tc>
          <w:tcPr>
            <w:tcW w:type="dxa" w:w="1440"/>
            <w:noWrap/>
          </w:tcPr>
          <w:p>
            <w:r>
              <w:t>95</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11</w:t>
            </w:r>
          </w:p>
        </w:tc>
        <w:tc>
          <w:tcPr>
            <w:tcW w:type="dxa" w:w="1440"/>
            <w:noWrap/>
          </w:tcPr>
          <w:p>
            <w:r>
              <w:t>Baño N°5 Damas</w:t>
            </w:r>
          </w:p>
        </w:tc>
        <w:tc>
          <w:tcPr>
            <w:tcW w:type="dxa" w:w="1440"/>
            <w:noWrap/>
          </w:tcPr>
          <w:p>
            <w:r>
              <w:t>8,5</w:t>
            </w:r>
          </w:p>
        </w:tc>
        <w:tc>
          <w:tcPr>
            <w:tcW w:type="dxa" w:w="1440"/>
            <w:noWrap/>
          </w:tcPr>
          <w:p>
            <w:r>
              <w:t>27</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12</w:t>
            </w:r>
          </w:p>
        </w:tc>
        <w:tc>
          <w:tcPr>
            <w:tcW w:type="dxa" w:w="1440"/>
            <w:noWrap/>
          </w:tcPr>
          <w:p>
            <w:r>
              <w:t>Baño N°6 Varones</w:t>
            </w:r>
          </w:p>
        </w:tc>
        <w:tc>
          <w:tcPr>
            <w:tcW w:type="dxa" w:w="1440"/>
            <w:noWrap/>
          </w:tcPr>
          <w:p>
            <w:r>
              <w:t>1,8</w:t>
            </w:r>
          </w:p>
        </w:tc>
        <w:tc>
          <w:tcPr>
            <w:tcW w:type="dxa" w:w="1440"/>
            <w:noWrap/>
          </w:tcPr>
          <w:p>
            <w:r>
              <w:t>7</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151.232</w:t>
            </w:r>
          </w:p>
        </w:tc>
        <w:tc>
          <w:tcPr>
            <w:tcW w:type="dxa" w:w="1440"/>
            <w:noWrap/>
            <w:shd w:val="clear" w:fill="FFE6E6"/>
          </w:tcPr>
          <w:p>
            <w:pPr>
              <w:jc w:val="left"/>
            </w:pPr>
            <w:r>
              <w:rPr>
                <w:b/>
                <w:color w:val="FF0000"/>
              </w:rPr>
              <w:t>487</w:t>
            </w:r>
          </w:p>
        </w:tc>
        <w:tc>
          <w:tcPr>
            <w:tcW w:type="dxa" w:w="1440"/>
            <w:noWrap/>
            <w:shd w:val="clear" w:fill="FFE6E6"/>
          </w:tcPr>
          <w:p>
            <w:pPr>
              <w:jc w:val="left"/>
            </w:pPr>
            <w:r>
              <w:rPr>
                <w:b/>
                <w:color w:val="FF0000"/>
              </w:rPr>
              <w:t>12.207,1 m³</w:t>
            </w:r>
          </w:p>
        </w:tc>
        <w:tc>
          <w:tcPr>
            <w:tcW w:type="dxa" w:w="1440"/>
            <w:noWrap/>
            <w:shd w:val="clear" w:fill="FFE6E6"/>
          </w:tcPr>
          <w:p>
            <w:pPr>
              <w:jc w:val="left"/>
            </w:pPr>
            <w:r>
              <w:rPr>
                <w:b/>
                <w:color w:val="FF0000"/>
              </w:rPr>
              <w:t>41.853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3" name="Picture 3"/>
            <wp:cNvGraphicFramePr>
              <a:graphicFrameLocks noChangeAspect="1"/>
            </wp:cNvGraphicFramePr>
            <a:graphic>
              <a:graphicData uri="http://schemas.openxmlformats.org/drawingml/2006/picture">
                <pic:pic>
                  <pic:nvPicPr>
                    <pic:cNvPr id="0" name="chart_comparacion_mensual_agregada.png"/>
                    <pic:cNvPicPr/>
                  </pic:nvPicPr>
                  <pic:blipFill>
                    <a:blip r:embed="rId12"/>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Distrito de lujo DL y Sala de Bomba Sandia Antigua.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