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Kennedy</w:t>
      </w:r>
    </w:p>
    <w:p>
      <w:pPr>
        <w:jc w:val="center"/>
      </w:pPr>
      <w:r>
        <w:t>MONITOREO WES</w:t>
        <w:br/>
        <w:t>Análisis consolidado de 9 puntos de monitoreo</w:t>
        <w:br/>
        <w:t>Rango: 01-04-26 - 31-05-26</w:t>
        <w:br/>
        <w:t>Generado: 09-06-26 21:17</w:t>
      </w:r>
    </w:p>
    <w:p>
      <w:pPr>
        <w:pStyle w:val="Heading1"/>
        <w:keepNext/>
        <w:widowControl/>
        <w:spacing w:after="60"/>
      </w:pPr>
      <w:r>
        <w:rPr>
          <w:b/>
          <w:color w:val="003366"/>
        </w:rPr>
        <w:t>RESUMEN EJECUTIVO AGREGADO</w:t>
      </w:r>
    </w:p>
    <w:p>
      <w:r>
        <w:t>Puntos de monitoreo analizados: 9.</w:t>
        <w:br/>
      </w:r>
      <w:r>
        <w:t>Consumo total agregado: 96.103,4 m³.</w:t>
        <w:br/>
      </w:r>
      <w:r>
        <w:t>Consumo promedio por punto: 10.678,2 m³.</w:t>
        <w:br/>
      </w:r>
      <w:r>
        <w:t>Total de alertas registradas: 288.</w:t>
        <w:br/>
      </w:r>
      <w:r>
        <w:t>Promedio de alerta agregado: 9,7 m³/h.</w:t>
        <w:br/>
      </w:r>
      <w:r>
        <w:t>Proyección diaria de consumo nocturno agregada: 231,9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7091"/>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7091"/>
                    </a:xfrm>
                    <a:prstGeom prst="rect"/>
                  </pic:spPr>
                </pic:pic>
              </a:graphicData>
            </a:graphic>
          </wp:inline>
        </w:drawing>
      </w:r>
    </w:p>
    <w:p/>
    <w:p>
      <w:pPr>
        <w:jc w:val="both"/>
      </w:pPr>
      <w:r>
        <w:rPr>
          <w:color w:val="000000"/>
        </w:rPr>
        <w:t>El análisis comparativo revela que el punto con mayor consumo es Distrito de lujo DL, con un total de 25.456,6 m³ durante el periodo analizado. Este valor representa un 138,4% por encima del promedio (10.678,2 m³ por punto), indicando una demanda significativamente superior a la media. Por otro lado, el punto con menor consumo es Llenado Pileta, con un total de 47,5 m³. Este valor representa un 99,6% por debajo del promedio, mostrando una demanda significativamente inferior. La diferencia entre el punto de mayor y menor consumo es considerable, siendo el consumo máximo aproximadamente 536,5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29"/>
        <w:gridCol w:w="1937"/>
        <w:gridCol w:w="1051"/>
        <w:gridCol w:w="1051"/>
        <w:gridCol w:w="1399"/>
        <w:gridCol w:w="129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Distrito de lujo DL</w:t>
            </w:r>
          </w:p>
        </w:tc>
        <w:tc>
          <w:tcPr>
            <w:tcW w:type="dxa" w:w="1440"/>
            <w:noWrap/>
          </w:tcPr>
          <w:p>
            <w:r>
              <w:t>25.456,6</w:t>
            </w:r>
          </w:p>
        </w:tc>
        <w:tc>
          <w:tcPr>
            <w:tcW w:type="dxa" w:w="1440"/>
            <w:noWrap/>
          </w:tcPr>
          <w:p>
            <w:r>
              <w:t>12</w:t>
            </w:r>
          </w:p>
        </w:tc>
        <w:tc>
          <w:tcPr>
            <w:tcW w:type="dxa" w:w="1440"/>
            <w:noWrap/>
          </w:tcPr>
          <w:p>
            <w:pPr>
              <w:jc w:val="left"/>
            </w:pPr>
            <w:r>
              <w:t>5.536,8 m³</w:t>
            </w:r>
          </w:p>
          <w:p>
            <w:pPr>
              <w:jc w:val="left"/>
            </w:pPr>
            <w:r>
              <w:t>(61 días, 100%)</w:t>
            </w:r>
          </w:p>
        </w:tc>
        <w:tc>
          <w:tcPr>
            <w:tcW w:type="dxa" w:w="1440"/>
            <w:noWrap/>
          </w:tcPr>
          <w:p>
            <w:pPr>
              <w:jc w:val="left"/>
            </w:pPr>
            <w:r>
              <w:t>18.983,2 m³</w:t>
            </w:r>
          </w:p>
          <w:p>
            <w:pPr>
              <w:jc w:val="left"/>
            </w:pPr>
            <w:r>
              <w:t>(74,6%)</w:t>
            </w:r>
          </w:p>
        </w:tc>
      </w:tr>
      <w:tr>
        <w:tc>
          <w:tcPr>
            <w:tcW w:type="dxa" w:w="1440"/>
            <w:noWrap/>
          </w:tcPr>
          <w:p>
            <w:r>
              <w:t>2</w:t>
            </w:r>
          </w:p>
        </w:tc>
        <w:tc>
          <w:tcPr>
            <w:tcW w:type="dxa" w:w="1440"/>
            <w:noWrap/>
          </w:tcPr>
          <w:p>
            <w:r>
              <w:t>Sala de Bomba Sandia Antigua</w:t>
            </w:r>
          </w:p>
        </w:tc>
        <w:tc>
          <w:tcPr>
            <w:tcW w:type="dxa" w:w="1440"/>
            <w:noWrap/>
          </w:tcPr>
          <w:p>
            <w:r>
              <w:t>23.357,2</w:t>
            </w:r>
          </w:p>
        </w:tc>
        <w:tc>
          <w:tcPr>
            <w:tcW w:type="dxa" w:w="1440"/>
            <w:noWrap/>
          </w:tcPr>
          <w:p>
            <w:r>
              <w:t>12</w:t>
            </w:r>
          </w:p>
        </w:tc>
        <w:tc>
          <w:tcPr>
            <w:tcW w:type="dxa" w:w="1440"/>
            <w:noWrap/>
          </w:tcPr>
          <w:p>
            <w:pPr>
              <w:jc w:val="left"/>
            </w:pPr>
            <w:r>
              <w:t>5.127 m³</w:t>
            </w:r>
          </w:p>
          <w:p>
            <w:pPr>
              <w:jc w:val="left"/>
            </w:pPr>
            <w:r>
              <w:t>(61 días, 100%)</w:t>
            </w:r>
          </w:p>
        </w:tc>
        <w:tc>
          <w:tcPr>
            <w:tcW w:type="dxa" w:w="1440"/>
            <w:noWrap/>
          </w:tcPr>
          <w:p>
            <w:pPr>
              <w:jc w:val="left"/>
            </w:pPr>
            <w:r>
              <w:t>17.578,1 m³</w:t>
            </w:r>
          </w:p>
          <w:p>
            <w:pPr>
              <w:jc w:val="left"/>
            </w:pPr>
            <w:r>
              <w:t>(75,3%)</w:t>
            </w:r>
          </w:p>
        </w:tc>
      </w:tr>
      <w:tr>
        <w:tc>
          <w:tcPr>
            <w:tcW w:type="dxa" w:w="1440"/>
            <w:noWrap/>
          </w:tcPr>
          <w:p>
            <w:r>
              <w:t>3</w:t>
            </w:r>
          </w:p>
        </w:tc>
        <w:tc>
          <w:tcPr>
            <w:tcW w:type="dxa" w:w="1440"/>
            <w:noWrap/>
          </w:tcPr>
          <w:p>
            <w:r>
              <w:t>PAK BAZAR GOURMET</w:t>
            </w:r>
          </w:p>
        </w:tc>
        <w:tc>
          <w:tcPr>
            <w:tcW w:type="dxa" w:w="1440"/>
            <w:noWrap/>
          </w:tcPr>
          <w:p>
            <w:r>
              <w:t>16.936,3</w:t>
            </w:r>
          </w:p>
        </w:tc>
        <w:tc>
          <w:tcPr>
            <w:tcW w:type="dxa" w:w="1440"/>
            <w:noWrap/>
          </w:tcPr>
          <w:p>
            <w:r>
              <w:t>35</w:t>
            </w:r>
          </w:p>
        </w:tc>
        <w:tc>
          <w:tcPr>
            <w:tcW w:type="dxa" w:w="1440"/>
            <w:noWrap/>
          </w:tcPr>
          <w:p>
            <w:pPr>
              <w:jc w:val="left"/>
            </w:pPr>
            <w:r>
              <w:t>3.843,9 m³</w:t>
            </w:r>
          </w:p>
          <w:p>
            <w:pPr>
              <w:jc w:val="left"/>
            </w:pPr>
            <w:r>
              <w:t>(61 días, 100%)</w:t>
            </w:r>
          </w:p>
        </w:tc>
        <w:tc>
          <w:tcPr>
            <w:tcW w:type="dxa" w:w="1440"/>
            <w:noWrap/>
          </w:tcPr>
          <w:p>
            <w:pPr>
              <w:jc w:val="left"/>
            </w:pPr>
            <w:r>
              <w:t>13.179,1 m³</w:t>
            </w:r>
          </w:p>
          <w:p>
            <w:pPr>
              <w:jc w:val="left"/>
            </w:pPr>
            <w:r>
              <w:t>(77,8%)</w:t>
            </w:r>
          </w:p>
        </w:tc>
      </w:tr>
      <w:tr>
        <w:tc>
          <w:tcPr>
            <w:tcW w:type="dxa" w:w="1440"/>
            <w:noWrap/>
          </w:tcPr>
          <w:p>
            <w:r>
              <w:t>4</w:t>
            </w:r>
          </w:p>
        </w:tc>
        <w:tc>
          <w:tcPr>
            <w:tcW w:type="dxa" w:w="1440"/>
            <w:noWrap/>
          </w:tcPr>
          <w:p>
            <w:r>
              <w:t>Sala de Bomba Sandia Nueva</w:t>
            </w:r>
          </w:p>
        </w:tc>
        <w:tc>
          <w:tcPr>
            <w:tcW w:type="dxa" w:w="1440"/>
            <w:noWrap/>
          </w:tcPr>
          <w:p>
            <w:r>
              <w:t>13.484,3</w:t>
            </w:r>
          </w:p>
        </w:tc>
        <w:tc>
          <w:tcPr>
            <w:tcW w:type="dxa" w:w="1440"/>
            <w:noWrap/>
          </w:tcPr>
          <w:p>
            <w:r>
              <w:t>27</w:t>
            </w:r>
          </w:p>
        </w:tc>
        <w:tc>
          <w:tcPr>
            <w:tcW w:type="dxa" w:w="1440"/>
            <w:noWrap/>
          </w:tcPr>
          <w:p>
            <w:pPr>
              <w:jc w:val="left"/>
            </w:pPr>
            <w:r>
              <w:t>2.686,1 m³</w:t>
            </w:r>
          </w:p>
          <w:p>
            <w:pPr>
              <w:jc w:val="left"/>
            </w:pPr>
            <w:r>
              <w:t>(61 días, 100%)</w:t>
            </w:r>
          </w:p>
        </w:tc>
        <w:tc>
          <w:tcPr>
            <w:tcW w:type="dxa" w:w="1440"/>
            <w:noWrap/>
          </w:tcPr>
          <w:p>
            <w:pPr>
              <w:jc w:val="left"/>
            </w:pPr>
            <w:r>
              <w:t>9.209,5 m³</w:t>
            </w:r>
          </w:p>
          <w:p>
            <w:pPr>
              <w:jc w:val="left"/>
            </w:pPr>
            <w:r>
              <w:t>(68,3%)</w:t>
            </w:r>
          </w:p>
        </w:tc>
      </w:tr>
      <w:tr>
        <w:tc>
          <w:tcPr>
            <w:tcW w:type="dxa" w:w="1440"/>
            <w:noWrap/>
          </w:tcPr>
          <w:p>
            <w:r>
              <w:t>5</w:t>
            </w:r>
          </w:p>
        </w:tc>
        <w:tc>
          <w:tcPr>
            <w:tcW w:type="dxa" w:w="1440"/>
            <w:noWrap/>
          </w:tcPr>
          <w:p>
            <w:r>
              <w:t>Impulsión Anden 3-4 Matriz Principal</w:t>
            </w:r>
          </w:p>
        </w:tc>
        <w:tc>
          <w:tcPr>
            <w:tcW w:type="dxa" w:w="1440"/>
            <w:noWrap/>
          </w:tcPr>
          <w:p>
            <w:r>
              <w:t>7.816,3</w:t>
            </w:r>
          </w:p>
        </w:tc>
        <w:tc>
          <w:tcPr>
            <w:tcW w:type="dxa" w:w="1440"/>
            <w:noWrap/>
          </w:tcPr>
          <w:p>
            <w:r>
              <w:t>45</w:t>
            </w:r>
          </w:p>
        </w:tc>
        <w:tc>
          <w:tcPr>
            <w:tcW w:type="dxa" w:w="1440"/>
            <w:noWrap/>
          </w:tcPr>
          <w:p>
            <w:pPr>
              <w:jc w:val="left"/>
            </w:pPr>
            <w:r>
              <w:t>940,2 m³</w:t>
            </w:r>
          </w:p>
          <w:p>
            <w:pPr>
              <w:jc w:val="left"/>
            </w:pPr>
            <w:r>
              <w:t>(60 días, 98,4%)</w:t>
            </w:r>
          </w:p>
        </w:tc>
        <w:tc>
          <w:tcPr>
            <w:tcW w:type="dxa" w:w="1440"/>
            <w:noWrap/>
          </w:tcPr>
          <w:p>
            <w:pPr>
              <w:jc w:val="left"/>
            </w:pPr>
            <w:r>
              <w:t>3.223,6 m³</w:t>
            </w:r>
          </w:p>
          <w:p>
            <w:pPr>
              <w:jc w:val="left"/>
            </w:pPr>
            <w:r>
              <w:t>(41,2%)</w:t>
            </w:r>
          </w:p>
        </w:tc>
      </w:tr>
      <w:tr>
        <w:tc>
          <w:tcPr>
            <w:tcW w:type="dxa" w:w="1440"/>
            <w:noWrap/>
          </w:tcPr>
          <w:p>
            <w:r>
              <w:t>6</w:t>
            </w:r>
          </w:p>
        </w:tc>
        <w:tc>
          <w:tcPr>
            <w:tcW w:type="dxa" w:w="1440"/>
            <w:noWrap/>
          </w:tcPr>
          <w:p>
            <w:r>
              <w:t>Impulsión Anden 3-4 Locales Gast.</w:t>
            </w:r>
          </w:p>
        </w:tc>
        <w:tc>
          <w:tcPr>
            <w:tcW w:type="dxa" w:w="1440"/>
            <w:noWrap/>
          </w:tcPr>
          <w:p>
            <w:r>
              <w:t>7.290</w:t>
            </w:r>
          </w:p>
        </w:tc>
        <w:tc>
          <w:tcPr>
            <w:tcW w:type="dxa" w:w="1440"/>
            <w:noWrap/>
          </w:tcPr>
          <w:p>
            <w:r>
              <w:t>43</w:t>
            </w:r>
          </w:p>
        </w:tc>
        <w:tc>
          <w:tcPr>
            <w:tcW w:type="dxa" w:w="1440"/>
            <w:noWrap/>
          </w:tcPr>
          <w:p>
            <w:pPr>
              <w:jc w:val="left"/>
            </w:pPr>
            <w:r>
              <w:t>507,9 m³</w:t>
            </w:r>
          </w:p>
          <w:p>
            <w:pPr>
              <w:jc w:val="left"/>
            </w:pPr>
            <w:r>
              <w:t>(60 días, 98,4%)</w:t>
            </w:r>
          </w:p>
        </w:tc>
        <w:tc>
          <w:tcPr>
            <w:tcW w:type="dxa" w:w="1440"/>
            <w:noWrap/>
          </w:tcPr>
          <w:p>
            <w:pPr>
              <w:jc w:val="left"/>
            </w:pPr>
            <w:r>
              <w:t>1.741,2 m³</w:t>
            </w:r>
          </w:p>
          <w:p>
            <w:pPr>
              <w:jc w:val="left"/>
            </w:pPr>
            <w:r>
              <w:t>(23,9%)</w:t>
            </w:r>
          </w:p>
        </w:tc>
      </w:tr>
      <w:tr>
        <w:tc>
          <w:tcPr>
            <w:tcW w:type="dxa" w:w="1440"/>
            <w:noWrap/>
          </w:tcPr>
          <w:p>
            <w:r>
              <w:t>7</w:t>
            </w:r>
          </w:p>
        </w:tc>
        <w:tc>
          <w:tcPr>
            <w:tcW w:type="dxa" w:w="1440"/>
            <w:noWrap/>
          </w:tcPr>
          <w:p>
            <w:r>
              <w:t>PAK DL KENNEDY</w:t>
            </w:r>
          </w:p>
        </w:tc>
        <w:tc>
          <w:tcPr>
            <w:tcW w:type="dxa" w:w="1440"/>
            <w:noWrap/>
          </w:tcPr>
          <w:p>
            <w:r>
              <w:t>1.029,7</w:t>
            </w:r>
          </w:p>
        </w:tc>
        <w:tc>
          <w:tcPr>
            <w:tcW w:type="dxa" w:w="1440"/>
            <w:noWrap/>
          </w:tcPr>
          <w:p>
            <w:r>
              <w:t>56</w:t>
            </w:r>
          </w:p>
        </w:tc>
        <w:tc>
          <w:tcPr>
            <w:tcW w:type="dxa" w:w="1440"/>
            <w:noWrap/>
          </w:tcPr>
          <w:p>
            <w:pPr>
              <w:jc w:val="left"/>
            </w:pPr>
            <w:r>
              <w:t>98,7 m³</w:t>
            </w:r>
          </w:p>
          <w:p>
            <w:pPr>
              <w:jc w:val="left"/>
            </w:pPr>
            <w:r>
              <w:t>(61 días, 100%)</w:t>
            </w:r>
          </w:p>
        </w:tc>
        <w:tc>
          <w:tcPr>
            <w:tcW w:type="dxa" w:w="1440"/>
            <w:noWrap/>
          </w:tcPr>
          <w:p>
            <w:pPr>
              <w:jc w:val="left"/>
            </w:pPr>
            <w:r>
              <w:t>338,3 m³</w:t>
            </w:r>
          </w:p>
          <w:p>
            <w:pPr>
              <w:jc w:val="left"/>
            </w:pPr>
            <w:r>
              <w:t>(32,9%)</w:t>
            </w:r>
          </w:p>
        </w:tc>
      </w:tr>
      <w:tr>
        <w:tc>
          <w:tcPr>
            <w:tcW w:type="dxa" w:w="1440"/>
            <w:noWrap/>
          </w:tcPr>
          <w:p>
            <w:r>
              <w:t>8</w:t>
            </w:r>
          </w:p>
        </w:tc>
        <w:tc>
          <w:tcPr>
            <w:tcW w:type="dxa" w:w="1440"/>
            <w:noWrap/>
          </w:tcPr>
          <w:p>
            <w:r>
              <w:t>Impulsión Anden 3-4 Restaurante</w:t>
            </w:r>
          </w:p>
        </w:tc>
        <w:tc>
          <w:tcPr>
            <w:tcW w:type="dxa" w:w="1440"/>
            <w:noWrap/>
          </w:tcPr>
          <w:p>
            <w:r>
              <w:t>685,5</w:t>
            </w:r>
          </w:p>
        </w:tc>
        <w:tc>
          <w:tcPr>
            <w:tcW w:type="dxa" w:w="1440"/>
            <w:noWrap/>
          </w:tcPr>
          <w:p>
            <w:r>
              <w:t>6</w:t>
            </w:r>
          </w:p>
        </w:tc>
        <w:tc>
          <w:tcPr>
            <w:tcW w:type="dxa" w:w="1440"/>
            <w:noWrap/>
          </w:tcPr>
          <w:p>
            <w:pPr>
              <w:jc w:val="left"/>
            </w:pPr>
            <w:r>
              <w:t>120,9 m³</w:t>
            </w:r>
          </w:p>
          <w:p>
            <w:pPr>
              <w:jc w:val="left"/>
            </w:pPr>
            <w:r>
              <w:t>(37 días, 60,7%)</w:t>
            </w:r>
          </w:p>
        </w:tc>
        <w:tc>
          <w:tcPr>
            <w:tcW w:type="dxa" w:w="1440"/>
            <w:noWrap/>
          </w:tcPr>
          <w:p>
            <w:pPr>
              <w:jc w:val="left"/>
            </w:pPr>
            <w:r>
              <w:t>0,0 m³</w:t>
            </w:r>
          </w:p>
          <w:p>
            <w:pPr>
              <w:jc w:val="left"/>
            </w:pPr>
            <w:r>
              <w:t>(0,0%)</w:t>
            </w:r>
          </w:p>
        </w:tc>
      </w:tr>
      <w:tr>
        <w:tc>
          <w:tcPr>
            <w:tcW w:type="dxa" w:w="1440"/>
            <w:noWrap/>
          </w:tcPr>
          <w:p>
            <w:r>
              <w:t>9</w:t>
            </w:r>
          </w:p>
        </w:tc>
        <w:tc>
          <w:tcPr>
            <w:tcW w:type="dxa" w:w="1440"/>
            <w:noWrap/>
          </w:tcPr>
          <w:p>
            <w:r>
              <w:t>Llenado Pileta</w:t>
            </w:r>
          </w:p>
        </w:tc>
        <w:tc>
          <w:tcPr>
            <w:tcW w:type="dxa" w:w="1440"/>
            <w:noWrap/>
          </w:tcPr>
          <w:p>
            <w:r>
              <w:t>47,5</w:t>
            </w:r>
          </w:p>
        </w:tc>
        <w:tc>
          <w:tcPr>
            <w:tcW w:type="dxa" w:w="1440"/>
            <w:noWrap/>
          </w:tcPr>
          <w:p>
            <w:r>
              <w:t>52</w:t>
            </w:r>
          </w:p>
        </w:tc>
        <w:tc>
          <w:tcPr>
            <w:tcW w:type="dxa" w:w="1440"/>
            <w:noWrap/>
          </w:tcPr>
          <w:p>
            <w:pPr>
              <w:jc w:val="left"/>
            </w:pPr>
            <w:r>
              <w:t>21 m³</w:t>
            </w:r>
          </w:p>
          <w:p>
            <w:pPr>
              <w:jc w:val="left"/>
            </w:pPr>
            <w:r>
              <w:t>(61 días, 100%)</w:t>
            </w:r>
          </w:p>
        </w:tc>
        <w:tc>
          <w:tcPr>
            <w:tcW w:type="dxa" w:w="1440"/>
            <w:noWrap/>
          </w:tcPr>
          <w:p>
            <w:pPr>
              <w:jc w:val="left"/>
            </w:pPr>
            <w:r>
              <w:t>72 m³</w:t>
            </w:r>
          </w:p>
          <w:p>
            <w:pPr>
              <w:jc w:val="left"/>
            </w:pPr>
            <w:r>
              <w:t>(151,7%)</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96.103,4</w:t>
            </w:r>
          </w:p>
        </w:tc>
        <w:tc>
          <w:tcPr>
            <w:tcW w:type="dxa" w:w="1440"/>
            <w:noWrap/>
            <w:shd w:val="clear" w:fill="FFE6E6"/>
          </w:tcPr>
          <w:p>
            <w:pPr>
              <w:jc w:val="left"/>
            </w:pPr>
            <w:r>
              <w:rPr>
                <w:b/>
                <w:color w:val="FF0000"/>
              </w:rPr>
              <w:t>288</w:t>
            </w:r>
          </w:p>
        </w:tc>
        <w:tc>
          <w:tcPr>
            <w:tcW w:type="dxa" w:w="1440"/>
            <w:noWrap/>
            <w:shd w:val="clear" w:fill="FFE6E6"/>
          </w:tcPr>
          <w:p>
            <w:pPr>
              <w:jc w:val="left"/>
            </w:pPr>
            <w:r>
              <w:rPr>
                <w:b/>
                <w:color w:val="FF0000"/>
              </w:rPr>
              <w:t>18.882,4 m³</w:t>
            </w:r>
          </w:p>
        </w:tc>
        <w:tc>
          <w:tcPr>
            <w:tcW w:type="dxa" w:w="1440"/>
            <w:noWrap/>
            <w:shd w:val="clear" w:fill="FFE6E6"/>
          </w:tcPr>
          <w:p>
            <w:pPr>
              <w:jc w:val="left"/>
            </w:pPr>
            <w:r>
              <w:rPr>
                <w:b/>
                <w:color w:val="FF0000"/>
              </w:rPr>
              <w:t>64.325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IMPULSIÓN ANDEN 3-4 MATRIZ PRINCIPAL (30-05-26):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20.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Impulsión Anden 3-4 Matriz Principal registró 45 alerta(s) durante 36 día(s) del periodo analizado. La periodicidad de las alertas es regular (más del 50% de los días). Se identificó una proyección de filtración de 3.223,6 m³ ($4.019.806), lo que indica un patrón de fuga constante durante el periodo.</w:t>
      </w:r>
    </w:p>
    <w:p/>
    <w:p>
      <w:pPr>
        <w:keepNext/>
        <w:widowControl/>
        <w:spacing w:after="60"/>
      </w:pPr>
      <w:r>
        <w:rPr>
          <w:b/>
          <w:color w:val="003366"/>
        </w:rPr>
        <w:t>DÍA CON MAYOR CONSUMO NOCTURNO - IMPULSIÓN ANDEN 3-4 LOCALES GAST. (08-05-26):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21.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Impulsión Anden 3-4 Locales Gast. registró 43 alerta(s) durante 35 día(s) del periodo analizado. La periodicidad de las alertas es regular (más del 50% de los días). Se identificó una proyección de filtración de 1.741,2 m³ ($2.171.309), lo que indica un patrón de fuga constante durante el periodo.</w:t>
      </w:r>
    </w:p>
    <w:p/>
    <w:p>
      <w:pPr>
        <w:keepNext/>
        <w:widowControl/>
        <w:spacing w:after="60"/>
      </w:pPr>
      <w:r>
        <w:rPr>
          <w:b/>
          <w:color w:val="003366"/>
        </w:rPr>
        <w:t>DÍA CON MAYOR CONSUMO NOCTURNO - SALA DE BOMBA SANDIA ANTIGUA (28-04-26):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5_22.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Sala de Bomba Sandia Antigua registró 12 alerta(s) durante 12 día(s) del periodo analizado. La periodicidad de las alertas es puntual (menos del 20% de los días). Se identificó una proyección de filtración de 17.578,1 m³ ($21.919.940), lo que indica un patrón de fuga constante durante el periodo.</w:t>
      </w:r>
    </w:p>
    <w:p/>
    <w:p>
      <w:pPr>
        <w:keepNext/>
        <w:widowControl/>
        <w:spacing w:after="60"/>
      </w:pPr>
      <w:r>
        <w:rPr>
          <w:b/>
          <w:color w:val="003366"/>
        </w:rPr>
        <w:t>DÍA CON MAYOR CONSUMO NOCTURNO - LLENADO PILETA (14-04-26):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5_23.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Llenado Pileta registró 52 alerta(s) durante 51 día(s) del periodo analizado. La periodicidad de las alertas es frecuente (más del 80% de los días). Se identificó una proyección de filtración de 70 m³ ($87.261), lo que indica un patrón de fuga constante durante el periodo.</w:t>
      </w:r>
    </w:p>
    <w:p/>
    <w:p>
      <w:pPr>
        <w:keepNext/>
        <w:widowControl/>
        <w:spacing w:after="60"/>
      </w:pPr>
      <w:r>
        <w:rPr>
          <w:b/>
          <w:color w:val="003366"/>
        </w:rPr>
        <w:t>DÍA CON MAYOR CONSUMO NOCTURNO - DISTRITO DE LUJO DL (28-04-26):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5_2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Distrito de lujo DL registró 12 alerta(s) durante 11 día(s) del periodo analizado. La periodicidad de las alertas es puntual (menos del 20% de los días). Se identificó una proyección de filtración de 18.983,2 m³ ($23.672.069), lo que indica un patrón de fuga constante durante el periodo.</w:t>
      </w:r>
    </w:p>
    <w:p/>
    <w:p>
      <w:pPr>
        <w:keepNext/>
        <w:widowControl/>
        <w:spacing w:after="60"/>
      </w:pPr>
      <w:r>
        <w:rPr>
          <w:b/>
          <w:color w:val="003366"/>
        </w:rPr>
        <w:t>DÍA CON MAYOR CONSUMO NOCTURNO - SALA DE BOMBA SANDIA NUEVA (14-04-26):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25_28.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Sala de Bomba Sandia Nueva registró 27 alerta(s) durante 26 día(s) del periodo analizado. La periodicidad de las alertas es intermitente (más del 20% de los días). Se identificó una proyección de filtración de 9.209,5 m³ ($11.484.205), lo que indica un patrón de fuga constante durante el periodo.</w:t>
      </w:r>
    </w:p>
    <w:p/>
    <w:p>
      <w:pPr>
        <w:keepNext/>
        <w:widowControl/>
        <w:spacing w:after="60"/>
      </w:pPr>
      <w:r>
        <w:rPr>
          <w:b/>
          <w:color w:val="003366"/>
        </w:rPr>
        <w:t>DÍA CON MAYOR CONSUMO NOCTURNO - IMPULSIÓN ANDEN 3-4 RESTAURANTE (22-04-26):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25_29.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Impulsión Anden 3-4 Restaurante registró 6 alerta(s) durante 6 día(s) del periodo analizado. La periodicidad de las alertas es puntual (menos del 20% de los días).</w:t>
      </w:r>
    </w:p>
    <w:p/>
    <w:p>
      <w:pPr>
        <w:keepNext/>
        <w:widowControl/>
        <w:spacing w:after="60"/>
      </w:pPr>
      <w:r>
        <w:rPr>
          <w:b/>
          <w:color w:val="003366"/>
        </w:rPr>
        <w:t>DÍA CON MAYOR CONSUMO NOCTURNO - PAK BAZAR GOURMET (28-04-26):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25_35.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PAK BAZAR GOURMET registró 35 alerta(s) durante 27 día(s) del periodo analizado. La periodicidad de las alertas es intermitente (más del 20% de los días). Se identificó una proyección de filtración de 637 m³ ($794.392), lo que indica un patrón de fuga constante durante el periodo.</w:t>
      </w:r>
    </w:p>
    <w:p/>
    <w:p>
      <w:pPr>
        <w:keepNext/>
        <w:widowControl/>
        <w:spacing w:after="60"/>
      </w:pPr>
      <w:r>
        <w:rPr>
          <w:b/>
          <w:color w:val="003366"/>
        </w:rPr>
        <w:t>PERFILES HORARIOS Y PROYECCIÓN (SERIE API — ESTILO APP WES)</w:t>
      </w:r>
    </w:p>
    <w:p>
      <w:pPr>
        <w:jc w:val="both"/>
      </w:pPr>
      <w:r>
        <w:t>Los siguientes gráficos replican el perfil horario de la app WES (sin captura de pantalla). La proyección mensual usa consumo en madrugada (00:00–06:59) extrapolado a 24 h × 30 días, útil para estimar ahorro con equipo de control cuando no hay alertas MyAlert recientes.</w:t>
      </w:r>
    </w:p>
    <w:p/>
    <w:p>
      <w:pPr>
        <w:keepNext/>
        <w:widowControl/>
        <w:spacing w:after="60"/>
      </w:pPr>
      <w:r>
        <w:rPr>
          <w:b/>
          <w:color w:val="003366"/>
        </w:rPr>
        <w:t>PAK DL KENNEDY (000025-36)</w:t>
      </w:r>
    </w:p>
    <w:p>
      <w:r>
        <w:rPr>
          <w:b/>
        </w:rPr>
        <w:t xml:space="preserve">Consumo nocturno en el periodo: </w:t>
      </w:r>
      <w:r>
        <w:t xml:space="preserve">4,1 m³. </w:t>
      </w:r>
      <w:r>
        <w:rPr>
          <w:b/>
        </w:rPr>
        <w:t xml:space="preserve">Proyección a 30 días (24 h/día): </w:t>
      </w:r>
      <w:r>
        <w:t>6,9 m³ ($8.621 referencial).</w:t>
      </w:r>
    </w:p>
    <w:p>
      <w:pPr>
        <w:keepNext/>
        <w:widowControl/>
        <w:spacing w:after="60"/>
        <w:jc w:val="center"/>
      </w:pPr>
      <w:r>
        <w:drawing>
          <wp:inline xmlns:a="http://schemas.openxmlformats.org/drawingml/2006/main" xmlns:pic="http://schemas.openxmlformats.org/drawingml/2006/picture">
            <wp:extent cx="5486400" cy="2445387"/>
            <wp:docPr id="11" name="Picture 11"/>
            <wp:cNvGraphicFramePr>
              <a:graphicFrameLocks noChangeAspect="1"/>
            </wp:cNvGraphicFramePr>
            <a:graphic>
              <a:graphicData uri="http://schemas.openxmlformats.org/drawingml/2006/picture">
                <pic:pic>
                  <pic:nvPicPr>
                    <pic:cNvPr id="0" name="app_horario_000025_36.png"/>
                    <pic:cNvPicPr/>
                  </pic:nvPicPr>
                  <pic:blipFill>
                    <a:blip r:embed="rId20"/>
                    <a:stretch>
                      <a:fillRect/>
                    </a:stretch>
                  </pic:blipFill>
                  <pic:spPr>
                    <a:xfrm>
                      <a:off x="0" y="0"/>
                      <a:ext cx="5486400" cy="2445387"/>
                    </a:xfrm>
                    <a:prstGeom prst="rect"/>
                  </pic:spPr>
                </pic:pic>
              </a:graphicData>
            </a:graphic>
          </wp:inline>
        </w:drawing>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2" name="Picture 12"/>
            <wp:cNvGraphicFramePr>
              <a:graphicFrameLocks noChangeAspect="1"/>
            </wp:cNvGraphicFramePr>
            <a:graphic>
              <a:graphicData uri="http://schemas.openxmlformats.org/drawingml/2006/picture">
                <pic:pic>
                  <pic:nvPicPr>
                    <pic:cNvPr id="0" name="chart_comparacion_mensual_agregada.png"/>
                    <pic:cNvPicPr/>
                  </pic:nvPicPr>
                  <pic:blipFill>
                    <a:blip r:embed="rId21"/>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Distrito de lujo DL, Sala de Bomba Sandia Antigua, PAK BAZAR GOURMET, Sala de Bomba Sandia Nueva, Impulsión Anden 3-4 Matriz Principal, Impulsión Anden 3-4 Locales Gast., PAK DL KENNEDY y Llenado Pileta.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