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9 puntos de monitoreo</w:t>
        <w:br/>
        <w:t>Rango: 01-04-26 - 31-05-26</w:t>
        <w:br/>
        <w:t>Generado: 09-06-26 21:28</w:t>
      </w:r>
    </w:p>
    <w:p>
      <w:pPr>
        <w:pStyle w:val="Heading1"/>
        <w:keepNext/>
        <w:widowControl/>
        <w:spacing w:after="60"/>
      </w:pPr>
      <w:r>
        <w:rPr>
          <w:b/>
          <w:color w:val="003366"/>
        </w:rPr>
        <w:t>RESUMEN EJECUTIVO AGREGADO</w:t>
      </w:r>
    </w:p>
    <w:p>
      <w:r>
        <w:t>Puntos de monitoreo analizados: 9.</w:t>
        <w:br/>
      </w:r>
      <w:r>
        <w:t>Consumo total agregado: 96.103,4 m³.</w:t>
        <w:br/>
      </w:r>
      <w:r>
        <w:t>Consumo promedio por punto: 10.678,2 m³.</w:t>
        <w:br/>
      </w:r>
      <w:r>
        <w:t>Total de alertas registradas: 288.</w:t>
        <w:br/>
      </w:r>
      <w:r>
        <w:t>Promedio de alerta agregado: 9,7 m³/h.</w:t>
        <w:br/>
      </w:r>
      <w:r>
        <w:t>Proyección diaria de consumo nocturno agregada: 231,9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25.456,6 m³ durante el periodo analizado. Este valor representa un 138,4% por encima del promedio (10.678,2 m³ por punto), indicando una demanda significativamente superior a la media. Por otro lado, el punto con menor consumo es Llenado Pileta, con un total de 47,5 m³. Este valor representa un 99,6% por debajo del promedio, mostrando una demanda significativamente inferior. La diferencia entre el punto de mayor y menor consumo es considerable, siendo el consumo máximo aproximadamente 536,5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25.456,6</w:t>
            </w:r>
          </w:p>
        </w:tc>
        <w:tc>
          <w:tcPr>
            <w:tcW w:type="dxa" w:w="1440"/>
            <w:noWrap/>
          </w:tcPr>
          <w:p>
            <w:r>
              <w:t>12</w:t>
            </w:r>
          </w:p>
        </w:tc>
        <w:tc>
          <w:tcPr>
            <w:tcW w:type="dxa" w:w="1440"/>
            <w:noWrap/>
          </w:tcPr>
          <w:p>
            <w:pPr>
              <w:jc w:val="left"/>
            </w:pPr>
            <w:r>
              <w:t>5.536,8 m³</w:t>
            </w:r>
          </w:p>
          <w:p>
            <w:pPr>
              <w:jc w:val="left"/>
            </w:pPr>
            <w:r>
              <w:t>(61 días, 100%)</w:t>
            </w:r>
          </w:p>
        </w:tc>
        <w:tc>
          <w:tcPr>
            <w:tcW w:type="dxa" w:w="1440"/>
            <w:noWrap/>
          </w:tcPr>
          <w:p>
            <w:pPr>
              <w:jc w:val="left"/>
            </w:pPr>
            <w:r>
              <w:t>18.983,2 m³</w:t>
            </w:r>
          </w:p>
          <w:p>
            <w:pPr>
              <w:jc w:val="left"/>
            </w:pPr>
            <w:r>
              <w:t>(74,6%)</w:t>
            </w:r>
          </w:p>
        </w:tc>
      </w:tr>
      <w:tr>
        <w:tc>
          <w:tcPr>
            <w:tcW w:type="dxa" w:w="1440"/>
            <w:noWrap/>
          </w:tcPr>
          <w:p>
            <w:r>
              <w:t>2</w:t>
            </w:r>
          </w:p>
        </w:tc>
        <w:tc>
          <w:tcPr>
            <w:tcW w:type="dxa" w:w="1440"/>
            <w:noWrap/>
          </w:tcPr>
          <w:p>
            <w:r>
              <w:t>Sala de Bomba Sandia Antigua</w:t>
            </w:r>
          </w:p>
        </w:tc>
        <w:tc>
          <w:tcPr>
            <w:tcW w:type="dxa" w:w="1440"/>
            <w:noWrap/>
          </w:tcPr>
          <w:p>
            <w:r>
              <w:t>23.357,2</w:t>
            </w:r>
          </w:p>
        </w:tc>
        <w:tc>
          <w:tcPr>
            <w:tcW w:type="dxa" w:w="1440"/>
            <w:noWrap/>
          </w:tcPr>
          <w:p>
            <w:r>
              <w:t>12</w:t>
            </w:r>
          </w:p>
        </w:tc>
        <w:tc>
          <w:tcPr>
            <w:tcW w:type="dxa" w:w="1440"/>
            <w:noWrap/>
          </w:tcPr>
          <w:p>
            <w:pPr>
              <w:jc w:val="left"/>
            </w:pPr>
            <w:r>
              <w:t>5.127 m³</w:t>
            </w:r>
          </w:p>
          <w:p>
            <w:pPr>
              <w:jc w:val="left"/>
            </w:pPr>
            <w:r>
              <w:t>(61 días, 100%)</w:t>
            </w:r>
          </w:p>
        </w:tc>
        <w:tc>
          <w:tcPr>
            <w:tcW w:type="dxa" w:w="1440"/>
            <w:noWrap/>
          </w:tcPr>
          <w:p>
            <w:pPr>
              <w:jc w:val="left"/>
            </w:pPr>
            <w:r>
              <w:t>17.578,1 m³</w:t>
            </w:r>
          </w:p>
          <w:p>
            <w:pPr>
              <w:jc w:val="left"/>
            </w:pPr>
            <w:r>
              <w:t>(75,3%)</w:t>
            </w:r>
          </w:p>
        </w:tc>
      </w:tr>
      <w:tr>
        <w:tc>
          <w:tcPr>
            <w:tcW w:type="dxa" w:w="1440"/>
            <w:noWrap/>
          </w:tcPr>
          <w:p>
            <w:r>
              <w:t>3</w:t>
            </w:r>
          </w:p>
        </w:tc>
        <w:tc>
          <w:tcPr>
            <w:tcW w:type="dxa" w:w="1440"/>
            <w:noWrap/>
          </w:tcPr>
          <w:p>
            <w:r>
              <w:t>PAK BAZAR GOURMET</w:t>
            </w:r>
          </w:p>
        </w:tc>
        <w:tc>
          <w:tcPr>
            <w:tcW w:type="dxa" w:w="1440"/>
            <w:noWrap/>
          </w:tcPr>
          <w:p>
            <w:r>
              <w:t>16.936,3</w:t>
            </w:r>
          </w:p>
        </w:tc>
        <w:tc>
          <w:tcPr>
            <w:tcW w:type="dxa" w:w="1440"/>
            <w:noWrap/>
          </w:tcPr>
          <w:p>
            <w:r>
              <w:t>35</w:t>
            </w:r>
          </w:p>
        </w:tc>
        <w:tc>
          <w:tcPr>
            <w:tcW w:type="dxa" w:w="1440"/>
            <w:noWrap/>
          </w:tcPr>
          <w:p>
            <w:pPr>
              <w:jc w:val="left"/>
            </w:pPr>
            <w:r>
              <w:t>3.843,9 m³</w:t>
            </w:r>
          </w:p>
          <w:p>
            <w:pPr>
              <w:jc w:val="left"/>
            </w:pPr>
            <w:r>
              <w:t>(61 días, 100%)</w:t>
            </w:r>
          </w:p>
        </w:tc>
        <w:tc>
          <w:tcPr>
            <w:tcW w:type="dxa" w:w="1440"/>
            <w:noWrap/>
          </w:tcPr>
          <w:p>
            <w:pPr>
              <w:jc w:val="left"/>
            </w:pPr>
            <w:r>
              <w:t>13.179,1 m³</w:t>
            </w:r>
          </w:p>
          <w:p>
            <w:pPr>
              <w:jc w:val="left"/>
            </w:pPr>
            <w:r>
              <w:t>(77,8%)</w:t>
            </w:r>
          </w:p>
        </w:tc>
      </w:tr>
      <w:tr>
        <w:tc>
          <w:tcPr>
            <w:tcW w:type="dxa" w:w="1440"/>
            <w:noWrap/>
          </w:tcPr>
          <w:p>
            <w:r>
              <w:t>4</w:t>
            </w:r>
          </w:p>
        </w:tc>
        <w:tc>
          <w:tcPr>
            <w:tcW w:type="dxa" w:w="1440"/>
            <w:noWrap/>
          </w:tcPr>
          <w:p>
            <w:r>
              <w:t>Sala de Bomba Sandia Nueva</w:t>
            </w:r>
          </w:p>
        </w:tc>
        <w:tc>
          <w:tcPr>
            <w:tcW w:type="dxa" w:w="1440"/>
            <w:noWrap/>
          </w:tcPr>
          <w:p>
            <w:r>
              <w:t>13.484,3</w:t>
            </w:r>
          </w:p>
        </w:tc>
        <w:tc>
          <w:tcPr>
            <w:tcW w:type="dxa" w:w="1440"/>
            <w:noWrap/>
          </w:tcPr>
          <w:p>
            <w:r>
              <w:t>27</w:t>
            </w:r>
          </w:p>
        </w:tc>
        <w:tc>
          <w:tcPr>
            <w:tcW w:type="dxa" w:w="1440"/>
            <w:noWrap/>
          </w:tcPr>
          <w:p>
            <w:pPr>
              <w:jc w:val="left"/>
            </w:pPr>
            <w:r>
              <w:t>2.664,9 m³</w:t>
            </w:r>
          </w:p>
          <w:p>
            <w:pPr>
              <w:jc w:val="left"/>
            </w:pPr>
            <w:r>
              <w:t>(60 días, 100%)</w:t>
            </w:r>
          </w:p>
        </w:tc>
        <w:tc>
          <w:tcPr>
            <w:tcW w:type="dxa" w:w="1440"/>
            <w:noWrap/>
          </w:tcPr>
          <w:p>
            <w:pPr>
              <w:jc w:val="left"/>
            </w:pPr>
            <w:r>
              <w:t>9.136,8 m³</w:t>
            </w:r>
          </w:p>
          <w:p>
            <w:pPr>
              <w:jc w:val="left"/>
            </w:pPr>
            <w:r>
              <w:t>(67,8%)</w:t>
            </w:r>
          </w:p>
        </w:tc>
      </w:tr>
      <w:tr>
        <w:tc>
          <w:tcPr>
            <w:tcW w:type="dxa" w:w="1440"/>
            <w:noWrap/>
          </w:tcPr>
          <w:p>
            <w:r>
              <w:t>5</w:t>
            </w:r>
          </w:p>
        </w:tc>
        <w:tc>
          <w:tcPr>
            <w:tcW w:type="dxa" w:w="1440"/>
            <w:noWrap/>
          </w:tcPr>
          <w:p>
            <w:r>
              <w:t>Impulsión Anden 3-4 Matriz Principal</w:t>
            </w:r>
          </w:p>
        </w:tc>
        <w:tc>
          <w:tcPr>
            <w:tcW w:type="dxa" w:w="1440"/>
            <w:noWrap/>
          </w:tcPr>
          <w:p>
            <w:r>
              <w:t>7.816,3</w:t>
            </w:r>
          </w:p>
        </w:tc>
        <w:tc>
          <w:tcPr>
            <w:tcW w:type="dxa" w:w="1440"/>
            <w:noWrap/>
          </w:tcPr>
          <w:p>
            <w:r>
              <w:t>45</w:t>
            </w:r>
          </w:p>
        </w:tc>
        <w:tc>
          <w:tcPr>
            <w:tcW w:type="dxa" w:w="1440"/>
            <w:noWrap/>
          </w:tcPr>
          <w:p>
            <w:pPr>
              <w:jc w:val="left"/>
            </w:pPr>
            <w:r>
              <w:t>906,3 m³</w:t>
            </w:r>
          </w:p>
          <w:p>
            <w:pPr>
              <w:jc w:val="left"/>
            </w:pPr>
            <w:r>
              <w:t>(56 días, 98,2%)</w:t>
            </w:r>
          </w:p>
        </w:tc>
        <w:tc>
          <w:tcPr>
            <w:tcW w:type="dxa" w:w="1440"/>
            <w:noWrap/>
          </w:tcPr>
          <w:p>
            <w:pPr>
              <w:jc w:val="left"/>
            </w:pPr>
            <w:r>
              <w:t>3.107,3 m³</w:t>
            </w:r>
          </w:p>
          <w:p>
            <w:pPr>
              <w:jc w:val="left"/>
            </w:pPr>
            <w:r>
              <w:t>(39,8%)</w:t>
            </w:r>
          </w:p>
        </w:tc>
      </w:tr>
      <w:tr>
        <w:tc>
          <w:tcPr>
            <w:tcW w:type="dxa" w:w="1440"/>
            <w:noWrap/>
          </w:tcPr>
          <w:p>
            <w:r>
              <w:t>6</w:t>
            </w:r>
          </w:p>
        </w:tc>
        <w:tc>
          <w:tcPr>
            <w:tcW w:type="dxa" w:w="1440"/>
            <w:noWrap/>
          </w:tcPr>
          <w:p>
            <w:r>
              <w:t>Impulsión Anden 3-4 Locales Gast.</w:t>
            </w:r>
          </w:p>
        </w:tc>
        <w:tc>
          <w:tcPr>
            <w:tcW w:type="dxa" w:w="1440"/>
            <w:noWrap/>
          </w:tcPr>
          <w:p>
            <w:r>
              <w:t>7.290</w:t>
            </w:r>
          </w:p>
        </w:tc>
        <w:tc>
          <w:tcPr>
            <w:tcW w:type="dxa" w:w="1440"/>
            <w:noWrap/>
          </w:tcPr>
          <w:p>
            <w:r>
              <w:t>43</w:t>
            </w:r>
          </w:p>
        </w:tc>
        <w:tc>
          <w:tcPr>
            <w:tcW w:type="dxa" w:w="1440"/>
            <w:noWrap/>
          </w:tcPr>
          <w:p>
            <w:pPr>
              <w:jc w:val="left"/>
            </w:pPr>
            <w:r>
              <w:t>507,9 m³</w:t>
            </w:r>
          </w:p>
          <w:p>
            <w:pPr>
              <w:jc w:val="left"/>
            </w:pPr>
            <w:r>
              <w:t>(60 días, 98,4%)</w:t>
            </w:r>
          </w:p>
        </w:tc>
        <w:tc>
          <w:tcPr>
            <w:tcW w:type="dxa" w:w="1440"/>
            <w:noWrap/>
          </w:tcPr>
          <w:p>
            <w:pPr>
              <w:jc w:val="left"/>
            </w:pPr>
            <w:r>
              <w:t>1.741,2 m³</w:t>
            </w:r>
          </w:p>
          <w:p>
            <w:pPr>
              <w:jc w:val="left"/>
            </w:pPr>
            <w:r>
              <w:t>(23,9%)</w:t>
            </w:r>
          </w:p>
        </w:tc>
      </w:tr>
      <w:tr>
        <w:tc>
          <w:tcPr>
            <w:tcW w:type="dxa" w:w="1440"/>
            <w:noWrap/>
          </w:tcPr>
          <w:p>
            <w:r>
              <w:t>7</w:t>
            </w:r>
          </w:p>
        </w:tc>
        <w:tc>
          <w:tcPr>
            <w:tcW w:type="dxa" w:w="1440"/>
            <w:noWrap/>
          </w:tcPr>
          <w:p>
            <w:r>
              <w:t>PAK DL KENNEDY</w:t>
            </w:r>
          </w:p>
        </w:tc>
        <w:tc>
          <w:tcPr>
            <w:tcW w:type="dxa" w:w="1440"/>
            <w:noWrap/>
          </w:tcPr>
          <w:p>
            <w:r>
              <w:t>1.029,7</w:t>
            </w:r>
          </w:p>
        </w:tc>
        <w:tc>
          <w:tcPr>
            <w:tcW w:type="dxa" w:w="1440"/>
            <w:noWrap/>
          </w:tcPr>
          <w:p>
            <w:r>
              <w:t>56</w:t>
            </w:r>
          </w:p>
        </w:tc>
        <w:tc>
          <w:tcPr>
            <w:tcW w:type="dxa" w:w="1440"/>
            <w:noWrap/>
          </w:tcPr>
          <w:p>
            <w:pPr>
              <w:jc w:val="left"/>
            </w:pPr>
            <w:r>
              <w:t>98,7 m³</w:t>
            </w:r>
          </w:p>
          <w:p>
            <w:pPr>
              <w:jc w:val="left"/>
            </w:pPr>
            <w:r>
              <w:t>(61 días, 100%)</w:t>
            </w:r>
          </w:p>
        </w:tc>
        <w:tc>
          <w:tcPr>
            <w:tcW w:type="dxa" w:w="1440"/>
            <w:noWrap/>
          </w:tcPr>
          <w:p>
            <w:pPr>
              <w:jc w:val="left"/>
            </w:pPr>
            <w:r>
              <w:t>338,3 m³</w:t>
            </w:r>
          </w:p>
          <w:p>
            <w:pPr>
              <w:jc w:val="left"/>
            </w:pPr>
            <w:r>
              <w:t>(32,9%)</w:t>
            </w:r>
          </w:p>
        </w:tc>
      </w:tr>
      <w:tr>
        <w:tc>
          <w:tcPr>
            <w:tcW w:type="dxa" w:w="1440"/>
            <w:noWrap/>
          </w:tcPr>
          <w:p>
            <w:r>
              <w:t>8</w:t>
            </w:r>
          </w:p>
        </w:tc>
        <w:tc>
          <w:tcPr>
            <w:tcW w:type="dxa" w:w="1440"/>
            <w:noWrap/>
          </w:tcPr>
          <w:p>
            <w:r>
              <w:t>Impulsión Anden 3-4 Restaurante</w:t>
            </w:r>
          </w:p>
        </w:tc>
        <w:tc>
          <w:tcPr>
            <w:tcW w:type="dxa" w:w="1440"/>
            <w:noWrap/>
          </w:tcPr>
          <w:p>
            <w:r>
              <w:t>685,5</w:t>
            </w:r>
          </w:p>
        </w:tc>
        <w:tc>
          <w:tcPr>
            <w:tcW w:type="dxa" w:w="1440"/>
            <w:noWrap/>
          </w:tcPr>
          <w:p>
            <w:r>
              <w:t>6</w:t>
            </w:r>
          </w:p>
        </w:tc>
        <w:tc>
          <w:tcPr>
            <w:tcW w:type="dxa" w:w="1440"/>
            <w:noWrap/>
          </w:tcPr>
          <w:p>
            <w:pPr>
              <w:jc w:val="left"/>
            </w:pPr>
            <w:r>
              <w:t>120,9 m³</w:t>
            </w:r>
          </w:p>
          <w:p>
            <w:pPr>
              <w:jc w:val="left"/>
            </w:pPr>
            <w:r>
              <w:t>(37 días, 60,7%)</w:t>
            </w:r>
          </w:p>
        </w:tc>
        <w:tc>
          <w:tcPr>
            <w:tcW w:type="dxa" w:w="1440"/>
            <w:noWrap/>
          </w:tcPr>
          <w:p>
            <w:pPr>
              <w:jc w:val="left"/>
            </w:pPr>
            <w:r>
              <w:t>0,0 m³</w:t>
            </w:r>
          </w:p>
          <w:p>
            <w:pPr>
              <w:jc w:val="left"/>
            </w:pPr>
            <w:r>
              <w:t>(0,0%)</w:t>
            </w:r>
          </w:p>
        </w:tc>
      </w:tr>
      <w:tr>
        <w:tc>
          <w:tcPr>
            <w:tcW w:type="dxa" w:w="1440"/>
            <w:noWrap/>
          </w:tcPr>
          <w:p>
            <w:r>
              <w:t>9</w:t>
            </w:r>
          </w:p>
        </w:tc>
        <w:tc>
          <w:tcPr>
            <w:tcW w:type="dxa" w:w="1440"/>
            <w:noWrap/>
          </w:tcPr>
          <w:p>
            <w:r>
              <w:t>Llenado Pileta</w:t>
            </w:r>
          </w:p>
        </w:tc>
        <w:tc>
          <w:tcPr>
            <w:tcW w:type="dxa" w:w="1440"/>
            <w:noWrap/>
          </w:tcPr>
          <w:p>
            <w:r>
              <w:t>47,5</w:t>
            </w:r>
          </w:p>
        </w:tc>
        <w:tc>
          <w:tcPr>
            <w:tcW w:type="dxa" w:w="1440"/>
            <w:noWrap/>
          </w:tcPr>
          <w:p>
            <w:r>
              <w:t>52</w:t>
            </w:r>
          </w:p>
        </w:tc>
        <w:tc>
          <w:tcPr>
            <w:tcW w:type="dxa" w:w="1440"/>
            <w:noWrap/>
          </w:tcPr>
          <w:p>
            <w:pPr>
              <w:jc w:val="left"/>
            </w:pPr>
            <w:r>
              <w:t>21 m³</w:t>
            </w:r>
          </w:p>
          <w:p>
            <w:pPr>
              <w:jc w:val="left"/>
            </w:pPr>
            <w:r>
              <w:t>(61 días, 100%)</w:t>
            </w:r>
          </w:p>
        </w:tc>
        <w:tc>
          <w:tcPr>
            <w:tcW w:type="dxa" w:w="1440"/>
            <w:noWrap/>
          </w:tcPr>
          <w:p>
            <w:pPr>
              <w:jc w:val="left"/>
            </w:pPr>
            <w:r>
              <w:t>72 m³</w:t>
            </w:r>
          </w:p>
          <w:p>
            <w:pPr>
              <w:jc w:val="left"/>
            </w:pPr>
            <w:r>
              <w:t>(151,7%)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96.103,4</w:t>
            </w:r>
          </w:p>
        </w:tc>
        <w:tc>
          <w:tcPr>
            <w:tcW w:type="dxa" w:w="1440"/>
            <w:noWrap/>
            <w:shd w:val="clear" w:fill="FFE6E6"/>
          </w:tcPr>
          <w:p>
            <w:pPr>
              <w:jc w:val="left"/>
            </w:pPr>
            <w:r>
              <w:rPr>
                <w:b/>
                <w:color w:val="FF0000"/>
              </w:rPr>
              <w:t>288</w:t>
            </w:r>
          </w:p>
        </w:tc>
        <w:tc>
          <w:tcPr>
            <w:tcW w:type="dxa" w:w="1440"/>
            <w:noWrap/>
            <w:shd w:val="clear" w:fill="FFE6E6"/>
          </w:tcPr>
          <w:p>
            <w:pPr>
              <w:jc w:val="left"/>
            </w:pPr>
            <w:r>
              <w:rPr>
                <w:b/>
                <w:color w:val="FF0000"/>
              </w:rPr>
              <w:t>18.827,3 m³</w:t>
            </w:r>
          </w:p>
        </w:tc>
        <w:tc>
          <w:tcPr>
            <w:tcW w:type="dxa" w:w="1440"/>
            <w:noWrap/>
            <w:shd w:val="clear" w:fill="FFE6E6"/>
          </w:tcPr>
          <w:p>
            <w:pPr>
              <w:jc w:val="left"/>
            </w:pPr>
            <w:r>
              <w:rPr>
                <w:b/>
                <w:color w:val="FF0000"/>
              </w:rPr>
              <w:t>64.136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IMPULSIÓN ANDEN 3-4 MATRIZ PRINCIPAL (30-05-26):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45 alerta(s) durante 36 día(s) del periodo analizado. La periodicidad de las alertas es regular (más del 50% de los días). Se identificó una proyección de filtración de 3.223,6 m³ ($4.019.806), lo que indica un patrón de fuga constante durante el periodo.</w:t>
      </w:r>
    </w:p>
    <w:p/>
    <w:p>
      <w:pPr>
        <w:keepNext/>
        <w:widowControl/>
        <w:spacing w:after="60"/>
      </w:pPr>
      <w:r>
        <w:rPr>
          <w:b/>
          <w:color w:val="003366"/>
        </w:rPr>
        <w:t>DÍA CON MAYOR CONSUMO NOCTURNO - IMPULSIÓN ANDEN 3-4 LOCALES GAST. (08-04-26):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43 alerta(s) durante 35 día(s) del periodo analizado. La periodicidad de las alertas es regular (más del 50% de los días).</w:t>
      </w:r>
    </w:p>
    <w:p/>
    <w:p>
      <w:pPr>
        <w:keepNext/>
        <w:widowControl/>
        <w:spacing w:after="60"/>
      </w:pPr>
      <w:r>
        <w:rPr>
          <w:b/>
          <w:color w:val="003366"/>
        </w:rPr>
        <w:t>DÍA CON MAYOR CONSUMO NOCTURNO - SALA DE BOMBA SANDIA ANTIGUA (04-05-26):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12 alerta(s) durante 12 día(s) del periodo analizado. La periodicidad de las alertas es puntual (menos del 20% de los días).</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IMPULSIÓN ANDEN 3-4 RESTAURANTE (000025-29)</w:t>
      </w:r>
    </w:p>
    <w:p>
      <w:r>
        <w:rPr>
          <w:b/>
        </w:rPr>
        <w:t xml:space="preserve">Consumo nocturno en el periodo: </w:t>
      </w:r>
      <w:r>
        <w:t xml:space="preserve">0,9 m³. </w:t>
      </w:r>
      <w:r>
        <w:rPr>
          <w:b/>
        </w:rPr>
        <w:t xml:space="preserve">Proyección a 30 días (24 h/día): </w:t>
      </w:r>
      <w:r>
        <w:t>1,5 m³ ($1.829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9088"/>
            <wp:docPr id="6" name="Picture 6"/>
            <wp:cNvGraphicFramePr>
              <a:graphicFrameLocks noChangeAspect="1"/>
            </wp:cNvGraphicFramePr>
            <a:graphic>
              <a:graphicData uri="http://schemas.openxmlformats.org/drawingml/2006/picture">
                <pic:pic>
                  <pic:nvPicPr>
                    <pic:cNvPr id="0" name="app_horario_000025_29.png"/>
                    <pic:cNvPicPr/>
                  </pic:nvPicPr>
                  <pic:blipFill>
                    <a:blip r:embed="rId15"/>
                    <a:stretch>
                      <a:fillRect/>
                    </a:stretch>
                  </pic:blipFill>
                  <pic:spPr>
                    <a:xfrm>
                      <a:off x="0" y="0"/>
                      <a:ext cx="5486400" cy="2449088"/>
                    </a:xfrm>
                    <a:prstGeom prst="rect"/>
                  </pic:spPr>
                </pic:pic>
              </a:graphicData>
            </a:graphic>
          </wp:inline>
        </w:drawing>
      </w:r>
    </w:p>
    <w:p/>
    <w:p>
      <w:pPr>
        <w:keepNext/>
        <w:widowControl/>
        <w:spacing w:after="60"/>
      </w:pPr>
      <w:r>
        <w:rPr>
          <w:b/>
          <w:color w:val="003366"/>
        </w:rPr>
        <w:t>PAK BAZAR GOURMET (000025-35)</w:t>
      </w:r>
    </w:p>
    <w:p>
      <w:r>
        <w:rPr>
          <w:b/>
        </w:rPr>
        <w:t xml:space="preserve">Consumo nocturno en el periodo: </w:t>
      </w:r>
      <w:r>
        <w:t xml:space="preserve">3.843,9 m³. </w:t>
      </w:r>
      <w:r>
        <w:rPr>
          <w:b/>
        </w:rPr>
        <w:t xml:space="preserve">Proyección a 30 días (24 h/día): </w:t>
      </w:r>
      <w:r>
        <w:t>6.481,5 m³ ($8.082.445 referencial).</w:t>
      </w:r>
    </w:p>
    <w:p>
      <w:pPr>
        <w:keepNext/>
        <w:widowControl/>
        <w:spacing w:after="60"/>
        <w:jc w:val="center"/>
      </w:pPr>
      <w:r>
        <w:drawing>
          <wp:inline xmlns:a="http://schemas.openxmlformats.org/drawingml/2006/main" xmlns:pic="http://schemas.openxmlformats.org/drawingml/2006/picture">
            <wp:extent cx="5486400" cy="2456985"/>
            <wp:docPr id="7" name="Picture 7"/>
            <wp:cNvGraphicFramePr>
              <a:graphicFrameLocks noChangeAspect="1"/>
            </wp:cNvGraphicFramePr>
            <a:graphic>
              <a:graphicData uri="http://schemas.openxmlformats.org/drawingml/2006/picture">
                <pic:pic>
                  <pic:nvPicPr>
                    <pic:cNvPr id="0" name="app_horario_000025_35.png"/>
                    <pic:cNvPicPr/>
                  </pic:nvPicPr>
                  <pic:blipFill>
                    <a:blip r:embed="rId16"/>
                    <a:stretch>
                      <a:fillRect/>
                    </a:stretch>
                  </pic:blipFill>
                  <pic:spPr>
                    <a:xfrm>
                      <a:off x="0" y="0"/>
                      <a:ext cx="5486400" cy="2456985"/>
                    </a:xfrm>
                    <a:prstGeom prst="rect"/>
                  </pic:spPr>
                </pic:pic>
              </a:graphicData>
            </a:graphic>
          </wp:inline>
        </w:drawing>
      </w:r>
    </w:p>
    <w:p/>
    <w:p>
      <w:pPr>
        <w:keepNext/>
        <w:widowControl/>
        <w:spacing w:after="60"/>
      </w:pPr>
      <w:r>
        <w:rPr>
          <w:b/>
          <w:color w:val="003366"/>
        </w:rPr>
        <w:t>PAK DL KENNEDY (000025-36)</w:t>
      </w:r>
    </w:p>
    <w:p>
      <w:r>
        <w:rPr>
          <w:b/>
        </w:rPr>
        <w:t xml:space="preserve">Consumo nocturno en el periodo: </w:t>
      </w:r>
      <w:r>
        <w:t xml:space="preserve">98,7 m³. </w:t>
      </w:r>
      <w:r>
        <w:rPr>
          <w:b/>
        </w:rPr>
        <w:t xml:space="preserve">Proyección a 30 días (24 h/día): </w:t>
      </w:r>
      <w:r>
        <w:t>166,4 m³ ($207.474 referencial).</w:t>
      </w:r>
    </w:p>
    <w:p>
      <w:pPr>
        <w:keepNext/>
        <w:widowControl/>
        <w:spacing w:after="60"/>
        <w:jc w:val="center"/>
      </w:pPr>
      <w:r>
        <w:drawing>
          <wp:inline xmlns:a="http://schemas.openxmlformats.org/drawingml/2006/main" xmlns:pic="http://schemas.openxmlformats.org/drawingml/2006/picture">
            <wp:extent cx="5486400" cy="2445387"/>
            <wp:docPr id="8" name="Picture 8"/>
            <wp:cNvGraphicFramePr>
              <a:graphicFrameLocks noChangeAspect="1"/>
            </wp:cNvGraphicFramePr>
            <a:graphic>
              <a:graphicData uri="http://schemas.openxmlformats.org/drawingml/2006/picture">
                <pic:pic>
                  <pic:nvPicPr>
                    <pic:cNvPr id="0" name="app_horario_000025_36.png"/>
                    <pic:cNvPicPr/>
                  </pic:nvPicPr>
                  <pic:blipFill>
                    <a:blip r:embed="rId17"/>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9" name="Picture 9"/>
            <wp:cNvGraphicFramePr>
              <a:graphicFrameLocks noChangeAspect="1"/>
            </wp:cNvGraphicFramePr>
            <a:graphic>
              <a:graphicData uri="http://schemas.openxmlformats.org/drawingml/2006/picture">
                <pic:pic>
                  <pic:nvPicPr>
                    <pic:cNvPr id="0" name="chart_comparacion_mensual_agregada.png"/>
                    <pic:cNvPicPr/>
                  </pic:nvPicPr>
                  <pic:blipFill>
                    <a:blip r:embed="rId18"/>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PAK BAZAR GOURMET, Sala de Bomba Sandia Nueva, Impulsión Anden 3-4 Matriz Principal, Impulsión Anden 3-4 Locales Gast., PAK DL KENNEDY y Llenado Pileta.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