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03366"/>
          <w:sz w:val="36"/>
        </w:rPr>
        <w:t>Comparativo Consumo - Parque Arauco Kennedy</w:t>
      </w:r>
    </w:p>
    <w:p>
      <w:pPr>
        <w:jc w:val="center"/>
      </w:pPr>
      <w:r>
        <w:t>Rango analizado (hora local): 16-03-2026 a 18-03-2026</w:t>
      </w:r>
    </w:p>
    <w:p>
      <w:pPr>
        <w:jc w:val="center"/>
      </w:pPr>
      <w:r>
        <w:t>Generado: 18-03-2026 17:36</w:t>
      </w:r>
    </w:p>
    <w:p/>
    <w:p>
      <w:pPr>
        <w:pStyle w:val="Heading1"/>
      </w:pPr>
      <w:r>
        <w:t>Resumen a las 17:00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Fecha</w:t>
            </w:r>
          </w:p>
        </w:tc>
        <w:tc>
          <w:tcPr>
            <w:tcW w:type="dxa" w:w="2160"/>
          </w:tcPr>
          <w:p>
            <w:r>
              <w:t>Sandía antiguo</w:t>
            </w:r>
          </w:p>
        </w:tc>
        <w:tc>
          <w:tcPr>
            <w:tcW w:type="dxa" w:w="2160"/>
          </w:tcPr>
          <w:p>
            <w:r>
              <w:t>Sandía nuevo</w:t>
            </w:r>
          </w:p>
        </w:tc>
        <w:tc>
          <w:tcPr>
            <w:tcW w:type="dxa" w:w="2160"/>
          </w:tcPr>
          <w:p>
            <w:r>
              <w:t>DL</w:t>
            </w:r>
          </w:p>
        </w:tc>
      </w:tr>
      <w:tr>
        <w:tc>
          <w:tcPr>
            <w:tcW w:type="dxa" w:w="2160"/>
          </w:tcPr>
          <w:p>
            <w:r>
              <w:t>16-03-2026</w:t>
            </w:r>
          </w:p>
        </w:tc>
        <w:tc>
          <w:tcPr>
            <w:tcW w:type="dxa" w:w="2160"/>
          </w:tcPr>
          <w:p>
            <w:r>
              <w:t>20.300</w:t>
            </w:r>
          </w:p>
        </w:tc>
        <w:tc>
          <w:tcPr>
            <w:tcW w:type="dxa" w:w="2160"/>
          </w:tcPr>
          <w:p>
            <w:r>
              <w:t>8.500</w:t>
            </w:r>
          </w:p>
        </w:tc>
        <w:tc>
          <w:tcPr>
            <w:tcW w:type="dxa" w:w="2160"/>
          </w:tcPr>
          <w:p>
            <w:r>
              <w:t>23.000</w:t>
            </w:r>
          </w:p>
        </w:tc>
      </w:tr>
      <w:tr>
        <w:tc>
          <w:tcPr>
            <w:tcW w:type="dxa" w:w="2160"/>
          </w:tcPr>
          <w:p>
            <w:r>
              <w:t>17-03-2026</w:t>
            </w:r>
          </w:p>
        </w:tc>
        <w:tc>
          <w:tcPr>
            <w:tcW w:type="dxa" w:w="2160"/>
          </w:tcPr>
          <w:p>
            <w:r>
              <w:t>16.800</w:t>
            </w:r>
          </w:p>
        </w:tc>
        <w:tc>
          <w:tcPr>
            <w:tcW w:type="dxa" w:w="2160"/>
          </w:tcPr>
          <w:p>
            <w:r>
              <w:t>17.700</w:t>
            </w:r>
          </w:p>
        </w:tc>
        <w:tc>
          <w:tcPr>
            <w:tcW w:type="dxa" w:w="2160"/>
          </w:tcPr>
          <w:p>
            <w:r>
              <w:t>19.400</w:t>
            </w:r>
          </w:p>
        </w:tc>
      </w:tr>
      <w:tr>
        <w:tc>
          <w:tcPr>
            <w:tcW w:type="dxa" w:w="2160"/>
          </w:tcPr>
          <w:p>
            <w:r>
              <w:t>18-03-2026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</w:tbl>
    <w:p/>
    <w:p>
      <w:pPr>
        <w:pStyle w:val="Heading1"/>
      </w:pPr>
      <w:r>
        <w:t>Gráfico consumo horario (hora local)</w:t>
      </w:r>
    </w:p>
    <w:p>
      <w:r>
        <w:t>Se observa el comportamiento por nodo durante el rango solicitado, incluyendo el horario alrededor de las 17:00.</w:t>
      </w:r>
    </w:p>
    <w:p/>
    <w:p>
      <w:r>
        <w:drawing>
          <wp:inline xmlns:a="http://schemas.openxmlformats.org/drawingml/2006/main" xmlns:pic="http://schemas.openxmlformats.org/drawingml/2006/picture">
            <wp:extent cx="5943600" cy="4457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ativo_consumo_horari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