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0"/>
        </w:rPr>
        <w:t>Análisis Parque Arauco Impulsión Ander3-4 Locales Gast.</w:t>
      </w:r>
    </w:p>
    <w:p>
      <w:pPr>
        <w:jc w:val="center"/>
      </w:pPr>
      <w:r>
        <w:t>MONITOREO WES</w:t>
        <w:br/>
        <w:t>Impulsión Ander3-4 Locales Gast.</w:t>
        <w:br/>
        <w:t>Rango: 01-02-26 - 28-02-26</w:t>
        <w:br/>
        <w:t>Generado: 01-03-26 16:48</w:t>
      </w:r>
    </w:p>
    <w:p>
      <w:pPr>
        <w:pStyle w:val="Heading1"/>
        <w:keepNext/>
        <w:widowControl/>
        <w:spacing w:after="60"/>
      </w:pPr>
      <w:r>
        <w:rPr>
          <w:b/>
          <w:color w:val="003366"/>
        </w:rPr>
        <w:t>RESUMEN EJECUTIVO</w:t>
      </w:r>
    </w:p>
    <w:p>
      <w:r>
        <w:t>Consumo total: 3.707,9 m³.</w:t>
        <w:br/>
      </w:r>
      <w:r>
        <w:t>Promedio diario: 132,4 m³.</w:t>
        <w:br/>
      </w:r>
      <w:r>
        <w:t>Número de días del periodo del reporte: 28.</w:t>
        <w:br/>
      </w:r>
      <w:r>
        <w:t>Día pico: 28-02-26 (182,5 m³).</w:t>
        <w:br/>
      </w:r>
      <w:r>
        <w:t>Número de alertas de consumo nocturno: 15.</w:t>
        <w:br/>
      </w:r>
    </w:p>
    <w:p>
      <w:pPr>
        <w:pStyle w:val="Heading1"/>
        <w:keepNext/>
        <w:widowControl/>
        <w:spacing w:after="60"/>
      </w:pPr>
      <w:r>
        <w:rPr>
          <w:b/>
          <w:color w:val="003366"/>
        </w:rPr>
        <w:t>CONSUMO</w:t>
      </w:r>
    </w:p>
    <w:p>
      <w:pPr>
        <w:jc w:val="both"/>
      </w:pPr>
      <w:r>
        <w:rPr>
          <w:color w:val="000000"/>
        </w:rPr>
        <w:t>En la gráfica se representan 28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25-21.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sábado 28-02-26 con 182,5 m³. Este día corresponde a un fin de semana, lo que típicamente se asocia con baja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25-21.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3 semana(s) completa(s) (desde el lunes 2 de febrero de 2026 hasta el domingo 22 de febrero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25-21.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25-21.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04-02-26: Aumento del 28,3% (de 111,9 m³ a 143,6 m³). El equipo de monitoreo WES alertó este evento. • 14-02-26: Aumento del 27,5% (de 132,6 m³ a 169 m³). El equipo de monitoreo WES alertó este evento. El día pico (28-02-26) registró un consumo de 182,5 m³, lo que representa un 37,8% por encima del promedio diario (132,4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780"/>
        <w:gridCol w:w="3420"/>
      </w:tblGrid>
      <w:tr>
        <w:tc>
          <w:tcPr>
            <w:tcW w:type="dxa" w:w="4320"/>
            <w:shd w:val="clear" w:fill="D9E1F2"/>
            <w:noWrap/>
          </w:tcPr>
          <w:p>
            <w:r>
              <w:t>Total (m³)</w:t>
            </w:r>
          </w:p>
        </w:tc>
        <w:tc>
          <w:tcPr>
            <w:tcW w:type="dxa" w:w="4320"/>
            <w:shd w:val="clear" w:fill="D9E1F2"/>
            <w:noWrap/>
          </w:tcPr>
          <w:p>
            <w:r>
              <w:t>3.707,9</w:t>
            </w:r>
          </w:p>
        </w:tc>
      </w:tr>
      <w:tr>
        <w:tc>
          <w:tcPr>
            <w:tcW w:type="dxa" w:w="4320"/>
            <w:noWrap/>
          </w:tcPr>
          <w:p>
            <w:r>
              <w:t>Promedio diario (m³)</w:t>
            </w:r>
          </w:p>
        </w:tc>
        <w:tc>
          <w:tcPr>
            <w:tcW w:type="dxa" w:w="4320"/>
            <w:noWrap/>
          </w:tcPr>
          <w:p>
            <w:r>
              <w:t>132,4</w:t>
            </w:r>
          </w:p>
        </w:tc>
      </w:tr>
      <w:tr>
        <w:tc>
          <w:tcPr>
            <w:tcW w:type="dxa" w:w="4320"/>
            <w:noWrap/>
          </w:tcPr>
          <w:p>
            <w:r>
              <w:t>Promedio mensual (m³)</w:t>
            </w:r>
          </w:p>
        </w:tc>
        <w:tc>
          <w:tcPr>
            <w:tcW w:type="dxa" w:w="4320"/>
            <w:noWrap/>
          </w:tcPr>
          <w:p>
            <w:r>
              <w:t>3.972,8</w:t>
            </w:r>
          </w:p>
        </w:tc>
      </w:tr>
      <w:tr>
        <w:tc>
          <w:tcPr>
            <w:tcW w:type="dxa" w:w="4320"/>
            <w:noWrap/>
          </w:tcPr>
          <w:p>
            <w:r>
              <w:t>Máximo diario</w:t>
            </w:r>
          </w:p>
        </w:tc>
        <w:tc>
          <w:tcPr>
            <w:tcW w:type="dxa" w:w="4320"/>
            <w:noWrap/>
          </w:tcPr>
          <w:p>
            <w:r>
              <w:t>182,5 m³ (28-02-26)</w:t>
            </w:r>
          </w:p>
        </w:tc>
      </w:tr>
      <w:tr>
        <w:tc>
          <w:tcPr>
            <w:tcW w:type="dxa" w:w="4320"/>
            <w:noWrap/>
          </w:tcPr>
          <w:p>
            <w:r>
              <w:t>Mínimo diario</w:t>
            </w:r>
          </w:p>
        </w:tc>
        <w:tc>
          <w:tcPr>
            <w:tcW w:type="dxa" w:w="4320"/>
            <w:noWrap/>
          </w:tcPr>
          <w:p>
            <w:r>
              <w:t>96,5 m³ (23-02-26)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7800"/>
        <w:gridCol w:w="1560"/>
      </w:tblGrid>
      <w:tr>
        <w:tc>
          <w:tcPr>
            <w:tcW w:type="dxa" w:w="4320"/>
            <w:shd w:val="clear" w:fill="D9E1F2"/>
            <w:noWrap/>
          </w:tcPr>
          <w:p>
            <w:r>
              <w:t>Número de días con consumo nocturno</w:t>
            </w:r>
          </w:p>
        </w:tc>
        <w:tc>
          <w:tcPr>
            <w:tcW w:type="dxa" w:w="4320"/>
            <w:shd w:val="clear" w:fill="D9E1F2"/>
            <w:noWrap/>
          </w:tcPr>
          <w:p>
            <w:r>
              <w:t>28</w:t>
            </w:r>
          </w:p>
        </w:tc>
      </w:tr>
      <w:tr>
        <w:tc>
          <w:tcPr>
            <w:tcW w:type="dxa" w:w="4320"/>
            <w:noWrap/>
          </w:tcPr>
          <w:p>
            <w:r>
              <w:t>Número de días sin consumo nocturno</w:t>
            </w:r>
          </w:p>
        </w:tc>
        <w:tc>
          <w:tcPr>
            <w:tcW w:type="dxa" w:w="4320"/>
            <w:noWrap/>
          </w:tcPr>
          <w:p>
            <w:r>
              <w:t>0</w:t>
            </w:r>
          </w:p>
        </w:tc>
      </w:tr>
      <w:tr>
        <w:tc>
          <w:tcPr>
            <w:tcW w:type="dxa" w:w="4320"/>
            <w:noWrap/>
          </w:tcPr>
          <w:p>
            <w:r>
              <w:t>Consumo nocturno (m³)</w:t>
            </w:r>
          </w:p>
        </w:tc>
        <w:tc>
          <w:tcPr>
            <w:tcW w:type="dxa" w:w="4320"/>
            <w:noWrap/>
          </w:tcPr>
          <w:p>
            <w:r>
              <w:t>281,2</w:t>
            </w:r>
          </w:p>
        </w:tc>
      </w:tr>
      <w:tr>
        <w:tc>
          <w:tcPr>
            <w:tcW w:type="dxa" w:w="4320"/>
            <w:noWrap/>
          </w:tcPr>
          <w:p>
            <w:r>
              <w:t>Consumo diurno efectivo (m³)</w:t>
            </w:r>
          </w:p>
        </w:tc>
        <w:tc>
          <w:tcPr>
            <w:tcW w:type="dxa" w:w="4320"/>
            <w:noWrap/>
          </w:tcPr>
          <w:p>
            <w:r>
              <w:t>3.426,7</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3657600" cy="3520993"/>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3657600" cy="3520993"/>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Impulsión Ander3-4 Locales Gast.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683534"/>
            <wp:docPr id="6" name="Picture 6"/>
            <wp:cNvGraphicFramePr>
              <a:graphicFrameLocks noChangeAspect="1"/>
            </wp:cNvGraphicFramePr>
            <a:graphic>
              <a:graphicData uri="http://schemas.openxmlformats.org/drawingml/2006/picture">
                <pic:pic>
                  <pic:nvPicPr>
                    <pic:cNvPr id="0" name="chart_fugas_000025-21.png"/>
                    <pic:cNvPicPr/>
                  </pic:nvPicPr>
                  <pic:blipFill>
                    <a:blip r:embed="rId15"/>
                    <a:stretch>
                      <a:fillRect/>
                    </a:stretch>
                  </pic:blipFill>
                  <pic:spPr>
                    <a:xfrm>
                      <a:off x="0" y="0"/>
                      <a:ext cx="5486400" cy="1683534"/>
                    </a:xfrm>
                    <a:prstGeom prst="rect"/>
                  </pic:spPr>
                </pic:pic>
              </a:graphicData>
            </a:graphic>
          </wp:inline>
        </w:drawing>
      </w:r>
    </w:p>
    <w:p/>
    <w:p>
      <w:pPr>
        <w:keepNext/>
        <w:widowControl/>
        <w:spacing w:after="60"/>
      </w:pPr>
      <w:r>
        <w:rPr>
          <w:b/>
          <w:color w:val="003366"/>
        </w:rPr>
        <w:t>DÍA CON MAYOR CONSUMO NOCTURNO (06-02-26):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day_000025-21.png"/>
                    <pic:cNvPicPr/>
                  </pic:nvPicPr>
                  <pic:blipFill>
                    <a:blip r:embed="rId16"/>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consumo nocturno es igual o superior al 80% (100%) y el periodo del reporte es mayor o igual a 7 días (28 días). En base a estas condiciones, se realiza un análisis del consumo nocturno: el consumo nocturno registrado durante el periodo analizado presenta un patrón consistente que permite proyectar el volumen de agua consumido durante las horas nocturnas (00:00 a 06:00) a lo largo de todo 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904"/>
        <w:gridCol w:w="1456"/>
      </w:tblGrid>
      <w:tr>
        <w:tc>
          <w:tcPr>
            <w:tcW w:type="dxa" w:w="4320"/>
            <w:shd w:val="clear" w:fill="D9E1F2"/>
            <w:noWrap/>
          </w:tcPr>
          <w:p>
            <w:r>
              <w:t>Promedio hora consumo nocturno (m³/h)</w:t>
            </w:r>
          </w:p>
        </w:tc>
        <w:tc>
          <w:tcPr>
            <w:tcW w:type="dxa" w:w="4320"/>
            <w:shd w:val="clear" w:fill="D9E1F2"/>
            <w:noWrap/>
          </w:tcPr>
          <w:p>
            <w:r>
              <w:t>1,67</w:t>
            </w:r>
          </w:p>
        </w:tc>
      </w:tr>
      <w:tr>
        <w:tc>
          <w:tcPr>
            <w:tcW w:type="dxa" w:w="4320"/>
            <w:noWrap/>
          </w:tcPr>
          <w:p>
            <w:r>
              <w:t>Proyección día filtración (m³/día)</w:t>
            </w:r>
          </w:p>
        </w:tc>
        <w:tc>
          <w:tcPr>
            <w:tcW w:type="dxa" w:w="4320"/>
            <w:noWrap/>
          </w:tcPr>
          <w:p>
            <w:r>
              <w:t>40,2</w:t>
            </w:r>
          </w:p>
        </w:tc>
      </w:tr>
      <w:tr>
        <w:tc>
          <w:tcPr>
            <w:tcW w:type="dxa" w:w="4320"/>
            <w:noWrap/>
          </w:tcPr>
          <w:p>
            <w:r>
              <w:t>Proyección filtración del periodo (m³)</w:t>
            </w:r>
          </w:p>
        </w:tc>
        <w:tc>
          <w:tcPr>
            <w:tcW w:type="dxa" w:w="4320"/>
            <w:noWrap/>
          </w:tcPr>
          <w:p>
            <w:r>
              <w:t>1.124,8</w:t>
            </w:r>
          </w:p>
        </w:tc>
      </w:tr>
      <w:tr>
        <w:tc>
          <w:tcPr>
            <w:tcW w:type="dxa" w:w="4320"/>
            <w:noWrap/>
          </w:tcPr>
          <w:p>
            <w:r>
              <w:t>Consumo efectivo del periodo (m³)</w:t>
            </w:r>
          </w:p>
        </w:tc>
        <w:tc>
          <w:tcPr>
            <w:tcW w:type="dxa" w:w="4320"/>
            <w:noWrap/>
          </w:tcPr>
          <w:p>
            <w:r>
              <w:t>2.583,1</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