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0"/>
        </w:rPr>
        <w:t>Análisis Parque Arauco Impulsión Sandia Baños 2-3-6-7 Fredo</w:t>
      </w:r>
    </w:p>
    <w:p>
      <w:pPr>
        <w:jc w:val="center"/>
      </w:pPr>
      <w:r>
        <w:t>MONITOREO WES</w:t>
        <w:br/>
        <w:t>Impulsión Sandia Baños 2-3-6-7 Fredo</w:t>
        <w:br/>
        <w:t>Rango: 01-02-26 - 28-02-26</w:t>
        <w:br/>
        <w:t>Generado: 01-03-26 16:37</w:t>
      </w:r>
    </w:p>
    <w:p>
      <w:pPr>
        <w:pStyle w:val="Heading1"/>
        <w:keepNext/>
        <w:widowControl/>
        <w:spacing w:after="60"/>
      </w:pPr>
      <w:r>
        <w:rPr>
          <w:b/>
          <w:color w:val="003366"/>
        </w:rPr>
        <w:t>RESUMEN EJECUTIVO</w:t>
      </w:r>
    </w:p>
    <w:p>
      <w:r>
        <w:t>Consumo total: 25.449,5 m³.</w:t>
        <w:br/>
      </w:r>
      <w:r>
        <w:t>Promedio diario: 908,9 m³.</w:t>
        <w:br/>
      </w:r>
      <w:r>
        <w:t>Número de días del periodo del reporte: 28.</w:t>
        <w:br/>
      </w:r>
      <w:r>
        <w:t>Día pico: 07-02-26 (1.031 m³).</w:t>
        <w:br/>
      </w:r>
      <w:r>
        <w:t>Número de alertas de consumo nocturno: 0.</w:t>
        <w:br/>
      </w:r>
    </w:p>
    <w:p>
      <w:pPr>
        <w:pStyle w:val="Heading1"/>
        <w:keepNext/>
        <w:widowControl/>
        <w:spacing w:after="60"/>
      </w:pPr>
      <w:r>
        <w:rPr>
          <w:b/>
          <w:color w:val="003366"/>
        </w:rPr>
        <w:t>CONSUMO</w:t>
      </w:r>
    </w:p>
    <w:p>
      <w:pPr>
        <w:jc w:val="both"/>
      </w:pPr>
      <w:r>
        <w:rPr>
          <w:color w:val="000000"/>
        </w:rPr>
        <w:t>En la gráfica se representan 28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25-22.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sábado 07-02-26 con 1.031 m³. Este día corresponde a un fin de semana, lo que típicamente se asocia con baja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25-22.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3 semana(s) completa(s) (desde el lunes 2 de febrero de 2026 hasta el domingo 22 de febrero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25-22.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25-22.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No se registraron alzas significativas de consumo durante el periodo analizado.</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780"/>
        <w:gridCol w:w="3420"/>
      </w:tblGrid>
      <w:tr>
        <w:tc>
          <w:tcPr>
            <w:tcW w:type="dxa" w:w="4320"/>
            <w:shd w:val="clear" w:fill="D9E1F2"/>
            <w:noWrap/>
          </w:tcPr>
          <w:p>
            <w:r>
              <w:t>Total (m³)</w:t>
            </w:r>
          </w:p>
        </w:tc>
        <w:tc>
          <w:tcPr>
            <w:tcW w:type="dxa" w:w="4320"/>
            <w:shd w:val="clear" w:fill="D9E1F2"/>
            <w:noWrap/>
          </w:tcPr>
          <w:p>
            <w:r>
              <w:t>25.449,5</w:t>
            </w:r>
          </w:p>
        </w:tc>
      </w:tr>
      <w:tr>
        <w:tc>
          <w:tcPr>
            <w:tcW w:type="dxa" w:w="4320"/>
            <w:noWrap/>
          </w:tcPr>
          <w:p>
            <w:r>
              <w:t>Promedio diario (m³)</w:t>
            </w:r>
          </w:p>
        </w:tc>
        <w:tc>
          <w:tcPr>
            <w:tcW w:type="dxa" w:w="4320"/>
            <w:noWrap/>
          </w:tcPr>
          <w:p>
            <w:r>
              <w:t>908,9</w:t>
            </w:r>
          </w:p>
        </w:tc>
      </w:tr>
      <w:tr>
        <w:tc>
          <w:tcPr>
            <w:tcW w:type="dxa" w:w="4320"/>
            <w:noWrap/>
          </w:tcPr>
          <w:p>
            <w:r>
              <w:t>Promedio mensual (m³)</w:t>
            </w:r>
          </w:p>
        </w:tc>
        <w:tc>
          <w:tcPr>
            <w:tcW w:type="dxa" w:w="4320"/>
            <w:noWrap/>
          </w:tcPr>
          <w:p>
            <w:r>
              <w:t>27.267,3</w:t>
            </w:r>
          </w:p>
        </w:tc>
      </w:tr>
      <w:tr>
        <w:tc>
          <w:tcPr>
            <w:tcW w:type="dxa" w:w="4320"/>
            <w:noWrap/>
          </w:tcPr>
          <w:p>
            <w:r>
              <w:t>Máximo diario</w:t>
            </w:r>
          </w:p>
        </w:tc>
        <w:tc>
          <w:tcPr>
            <w:tcW w:type="dxa" w:w="4320"/>
            <w:noWrap/>
          </w:tcPr>
          <w:p>
            <w:r>
              <w:t>1.031 m³ (07-02-26)</w:t>
            </w:r>
          </w:p>
        </w:tc>
      </w:tr>
      <w:tr>
        <w:tc>
          <w:tcPr>
            <w:tcW w:type="dxa" w:w="4320"/>
            <w:noWrap/>
          </w:tcPr>
          <w:p>
            <w:r>
              <w:t>Mínimo diario</w:t>
            </w:r>
          </w:p>
        </w:tc>
        <w:tc>
          <w:tcPr>
            <w:tcW w:type="dxa" w:w="4320"/>
            <w:noWrap/>
          </w:tcPr>
          <w:p>
            <w:r>
              <w:t>786,3 m³ (25-02-26)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7619"/>
        <w:gridCol w:w="1741"/>
      </w:tblGrid>
      <w:tr>
        <w:tc>
          <w:tcPr>
            <w:tcW w:type="dxa" w:w="4320"/>
            <w:shd w:val="clear" w:fill="D9E1F2"/>
            <w:noWrap/>
          </w:tcPr>
          <w:p>
            <w:r>
              <w:t>Número de días con consumo nocturno</w:t>
            </w:r>
          </w:p>
        </w:tc>
        <w:tc>
          <w:tcPr>
            <w:tcW w:type="dxa" w:w="4320"/>
            <w:shd w:val="clear" w:fill="D9E1F2"/>
            <w:noWrap/>
          </w:tcPr>
          <w:p>
            <w:r>
              <w:t>28</w:t>
            </w:r>
          </w:p>
        </w:tc>
      </w:tr>
      <w:tr>
        <w:tc>
          <w:tcPr>
            <w:tcW w:type="dxa" w:w="4320"/>
            <w:noWrap/>
          </w:tcPr>
          <w:p>
            <w:r>
              <w:t>Número de días sin consumo nocturno</w:t>
            </w:r>
          </w:p>
        </w:tc>
        <w:tc>
          <w:tcPr>
            <w:tcW w:type="dxa" w:w="4320"/>
            <w:noWrap/>
          </w:tcPr>
          <w:p>
            <w:r>
              <w:t>0</w:t>
            </w:r>
          </w:p>
        </w:tc>
      </w:tr>
      <w:tr>
        <w:tc>
          <w:tcPr>
            <w:tcW w:type="dxa" w:w="4320"/>
            <w:noWrap/>
          </w:tcPr>
          <w:p>
            <w:r>
              <w:t>Consumo nocturno (m³)</w:t>
            </w:r>
          </w:p>
        </w:tc>
        <w:tc>
          <w:tcPr>
            <w:tcW w:type="dxa" w:w="4320"/>
            <w:noWrap/>
          </w:tcPr>
          <w:p>
            <w:r>
              <w:t>6.114,6</w:t>
            </w:r>
          </w:p>
        </w:tc>
      </w:tr>
      <w:tr>
        <w:tc>
          <w:tcPr>
            <w:tcW w:type="dxa" w:w="4320"/>
            <w:noWrap/>
          </w:tcPr>
          <w:p>
            <w:r>
              <w:t>Consumo diurno efectivo (m³)</w:t>
            </w:r>
          </w:p>
        </w:tc>
        <w:tc>
          <w:tcPr>
            <w:tcW w:type="dxa" w:w="4320"/>
            <w:noWrap/>
          </w:tcPr>
          <w:p>
            <w:r>
              <w:t>19.334,9</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3657600" cy="3004223"/>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3657600" cy="3004223"/>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r>
        <w:t>No se gatillaron alertas en el periodo analizado.</w:t>
      </w:r>
    </w:p>
    <w:p/>
    <w:p>
      <w:pPr>
        <w:keepNext/>
        <w:widowControl/>
        <w:spacing w:after="60"/>
      </w:pPr>
      <w:r>
        <w:rPr>
          <w:b/>
          <w:color w:val="003366"/>
        </w:rPr>
        <w:t>DÍA CON MAYOR CONSUMO NOCTURNO (09-02-26):</w:t>
      </w:r>
    </w:p>
    <w:p>
      <w:pPr>
        <w:keepNext/>
        <w:widowControl/>
        <w:spacing w:after="60"/>
        <w:jc w:val="center"/>
      </w:pPr>
      <w:r>
        <w:drawing>
          <wp:inline xmlns:a="http://schemas.openxmlformats.org/drawingml/2006/main" xmlns:pic="http://schemas.openxmlformats.org/drawingml/2006/picture">
            <wp:extent cx="5486400" cy="2702533"/>
            <wp:docPr id="6" name="Picture 6"/>
            <wp:cNvGraphicFramePr>
              <a:graphicFrameLocks noChangeAspect="1"/>
            </wp:cNvGraphicFramePr>
            <a:graphic>
              <a:graphicData uri="http://schemas.openxmlformats.org/drawingml/2006/picture">
                <pic:pic>
                  <pic:nvPicPr>
                    <pic:cNvPr id="0" name="chart_max_nocturnal_day_000025-22.png"/>
                    <pic:cNvPicPr/>
                  </pic:nvPicPr>
                  <pic:blipFill>
                    <a:blip r:embed="rId15"/>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consumo nocturno es igual o superior al 80% (100%) y el periodo del reporte es mayor o igual a 7 días (28 días). En base a estas condiciones, se realiza un análisis del consumo nocturno: el consumo nocturno registrado durante el periodo analizado presenta un patrón consistente que permite proyectar el volumen de agua consumido durante las horas nocturnas (00:00 a 06:00) a lo largo de todo 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7732"/>
        <w:gridCol w:w="1628"/>
      </w:tblGrid>
      <w:tr>
        <w:tc>
          <w:tcPr>
            <w:tcW w:type="dxa" w:w="4320"/>
            <w:shd w:val="clear" w:fill="D9E1F2"/>
            <w:noWrap/>
          </w:tcPr>
          <w:p>
            <w:r>
              <w:t>Promedio hora consumo nocturno (m³/h)</w:t>
            </w:r>
          </w:p>
        </w:tc>
        <w:tc>
          <w:tcPr>
            <w:tcW w:type="dxa" w:w="4320"/>
            <w:shd w:val="clear" w:fill="D9E1F2"/>
            <w:noWrap/>
          </w:tcPr>
          <w:p>
            <w:r>
              <w:t>36,4</w:t>
            </w:r>
          </w:p>
        </w:tc>
      </w:tr>
      <w:tr>
        <w:tc>
          <w:tcPr>
            <w:tcW w:type="dxa" w:w="4320"/>
            <w:noWrap/>
          </w:tcPr>
          <w:p>
            <w:r>
              <w:t>Proyección día filtración (m³/día)</w:t>
            </w:r>
          </w:p>
        </w:tc>
        <w:tc>
          <w:tcPr>
            <w:tcW w:type="dxa" w:w="4320"/>
            <w:noWrap/>
          </w:tcPr>
          <w:p>
            <w:r>
              <w:t>873,5</w:t>
            </w:r>
          </w:p>
        </w:tc>
      </w:tr>
      <w:tr>
        <w:tc>
          <w:tcPr>
            <w:tcW w:type="dxa" w:w="4320"/>
            <w:noWrap/>
          </w:tcPr>
          <w:p>
            <w:r>
              <w:t>Proyección filtración del periodo (m³)</w:t>
            </w:r>
          </w:p>
        </w:tc>
        <w:tc>
          <w:tcPr>
            <w:tcW w:type="dxa" w:w="4320"/>
            <w:noWrap/>
          </w:tcPr>
          <w:p>
            <w:r>
              <w:t>24.458,4</w:t>
            </w:r>
          </w:p>
        </w:tc>
      </w:tr>
      <w:tr>
        <w:tc>
          <w:tcPr>
            <w:tcW w:type="dxa" w:w="4320"/>
            <w:noWrap/>
          </w:tcPr>
          <w:p>
            <w:r>
              <w:t>Consumo efectivo del periodo (m³)</w:t>
            </w:r>
          </w:p>
        </w:tc>
        <w:tc>
          <w:tcPr>
            <w:tcW w:type="dxa" w:w="4320"/>
            <w:noWrap/>
          </w:tcPr>
          <w:p>
            <w:r>
              <w:t>991,1</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