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2"/>
        </w:rPr>
        <w:t>Comparación cuenta de agua (2131435-8) vs WES — Sandia Antigua</w:t>
      </w:r>
    </w:p>
    <w:p>
      <w:pPr>
        <w:jc w:val="both"/>
      </w:pPr>
      <w:r>
        <w:t>Documento generado el 31-03-2026 21:13. Los valores WES se obtienen en tiempo real desde la API de nodos.</w:t>
      </w:r>
    </w:p>
    <w:p>
      <w:pPr>
        <w:pStyle w:val="Heading1"/>
      </w:pPr>
      <w:r>
        <w:t>1. Antecedentes de la factura (medidor de acometida)</w:t>
      </w:r>
    </w:p>
    <w:p>
      <w:pPr>
        <w:pStyle w:val="ListBullet"/>
      </w:pPr>
      <w:r>
        <w:t>Cuenta / Nº cliente: 2131435-8</w:t>
      </w:r>
    </w:p>
    <w:p>
      <w:pPr>
        <w:pStyle w:val="ListBullet"/>
      </w:pPr>
      <w:r>
        <w:t>Factura Nº 1110129, emisión 26/03/2026</w:t>
      </w:r>
    </w:p>
    <w:p>
      <w:pPr>
        <w:pStyle w:val="ListBullet"/>
      </w:pPr>
      <w:r>
        <w:t>Titular en documento: PARQUE ARAUCO S.A.</w:t>
      </w:r>
    </w:p>
    <w:p>
      <w:pPr>
        <w:pStyle w:val="ListBullet"/>
      </w:pPr>
      <w:r>
        <w:t>Medidor: 122710153</w:t>
      </w:r>
    </w:p>
    <w:p>
      <w:pPr>
        <w:pStyle w:val="ListBullet"/>
      </w:pPr>
      <w:r>
        <w:t>Lectura anterior: 18/02/2026 — 105.279 m³</w:t>
      </w:r>
    </w:p>
    <w:p>
      <w:pPr>
        <w:pStyle w:val="ListBullet"/>
      </w:pPr>
      <w:r>
        <w:t>Lectura actual: 19/03/2026 — 121.069 m³</w:t>
      </w:r>
    </w:p>
    <w:p>
      <w:pPr>
        <w:pStyle w:val="ListBullet"/>
      </w:pPr>
      <w:r>
        <w:t>Consumo facturado en el periodo: 15.790.0 m³</w:t>
      </w:r>
    </w:p>
    <w:p>
      <w:pPr>
        <w:pStyle w:val="ListBullet"/>
      </w:pPr>
      <w:r>
        <w:t>Total a pagar: $26.662.687 CLP (venc. 14/04/2026)</w:t>
      </w:r>
    </w:p>
    <w:p>
      <w:r>
        <w:t>Referencia operacional: suministro asociado al local Vapiano / llenado de estanque impulsado posteriormente por Sandia Antigua (criterio indicado por el usuario).</w:t>
      </w:r>
    </w:p>
    <w:p>
      <w:pPr>
        <w:pStyle w:val="Heading1"/>
      </w:pPr>
      <w:r>
        <w:t>2. Monitoreo WES — punto Sandia Antigua</w:t>
      </w:r>
    </w:p>
    <w:p>
      <w:r>
        <w:t>Nodo: 000025-22 (Sala de Bomba Sandia Antigua). Según criterio de operación, el medidor de la factura alimenta el estanque que luego es impulsado por el sistema Sandia Antigua; el WES mide el volumen registrado en ese punto de monitoreo (no es el mismo medidor ni necesariamente el mismo volumen físico que el de la factura).</w:t>
      </w:r>
    </w:p>
    <w:p>
      <w:pPr>
        <w:pStyle w:val="Heading1"/>
      </w:pPr>
      <w:r>
        <w:t>3. Cifras WES (post corrección ultrasonido 11-03-2026)</w:t>
      </w:r>
    </w:p>
    <w:p>
      <w:r>
        <w:t>Periodo solicitado desde el 11-03-2026 hasta la fecha de generación: 21 días con datos. consumo acumulado 8.994.4 m³.</w:t>
      </w:r>
    </w:p>
    <w:p>
      <w:r>
        <w:t>Tramo que solapa el cierre del periodo de factura (11-03-2026 al 19-03-2026): 9 días. total WES 3.869.1 m³.</w:t>
      </w:r>
    </w:p>
    <w:p>
      <w:pPr>
        <w:pStyle w:val="Heading1"/>
      </w:pPr>
      <w:r>
        <w:t>4. Dato de referencia: ventana completa del periodo de factura en WES</w:t>
      </w:r>
    </w:p>
    <w:p>
      <w:r>
        <w:t>Si se toma en WES el mismo calendario que la factura (18-02-2026 a 19-03-2026). el total acumulado en el nodo es 21.345.2 m³.</w:t>
      </w:r>
    </w:p>
    <w:p>
      <w:r>
        <w:t>Ese valor es muy superior al consumo facturado (15.790 m³), lo cual es coherente con un error de configuración del medidor ultrasónico antes del 11-03-2026: las lecturas previas a la corrección no son comparables con la factura.</w:t>
      </w:r>
    </w:p>
    <w:p>
      <w:pPr>
        <w:pStyle w:val="Heading1"/>
      </w:pPr>
      <w:r>
        <w:t>5. Hallazgos más importantes</w:t>
      </w:r>
    </w:p>
    <w:p>
      <w:pPr>
        <w:pStyle w:val="ListNumber"/>
      </w:pPr>
      <w:r>
        <w:t>La factura mide el ingreso de agua potable por la acometida (un solo medidor de cobro); WES mide en el punto de bomba/impulsión Sandia Antigua. La reconciliación exige criterio hidráulico (llenado, consumo del mall, recirculaciones, rezagos).</w:t>
      </w:r>
    </w:p>
    <w:p>
      <w:pPr>
        <w:pStyle w:val="ListNumber"/>
      </w:pPr>
      <w:r>
        <w:t>Tras el 11-03-2026. en 21 días el nodo acumula 8.994.4 m³ (promedio ~428.3 m³/día).</w:t>
      </w:r>
    </w:p>
    <w:p>
      <w:pPr>
        <w:pStyle w:val="ListNumber"/>
      </w:pPr>
      <w:r>
        <w:t>En el solape 11–19 marzo, WES registra ~3,9 mil m³ frente a un periodo de factura de ~30 días y 15.790 m³ totales: son magnitudes distintas (ventana parcial vs medición de entrada).</w:t>
      </w:r>
    </w:p>
    <w:p>
      <w:pPr>
        <w:pStyle w:val="ListNumber"/>
      </w:pPr>
      <w:r>
        <w:t>Variabilidad diaria relevante en marzo (post corrección): días pico cercanos a 500–520 m³/día y días más bajos ~275–350 m³/día; conviene revisar si coincide con operación comercial y llenado de estanque.</w:t>
      </w:r>
    </w:p>
    <w:p>
      <w:pPr>
        <w:pStyle w:val="ListNumber"/>
      </w:pPr>
      <w:r>
        <w:t>Alerta con medida &gt; 0 en el periodo 11–31 marzo: 2026-03-15T10:00:00.000+00:00 (14.101 m³/h). Revisar contexto (arranque de bomba, prueba o evento puntual).</w:t>
      </w:r>
    </w:p>
    <w:p>
      <w:pPr>
        <w:pStyle w:val="Heading1"/>
      </w:pPr>
      <w:r>
        <w:t>6. Detalle días extremos (WES, 11-03 al fin de datos)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Consumo diario (m³)</w:t>
            </w:r>
          </w:p>
        </w:tc>
      </w:tr>
      <w:tr>
        <w:tc>
          <w:tcPr>
            <w:tcW w:type="dxa" w:w="4320"/>
          </w:tcPr>
          <w:p>
            <w:r>
              <w:t>2026-03-21</w:t>
            </w:r>
          </w:p>
        </w:tc>
        <w:tc>
          <w:tcPr>
            <w:tcW w:type="dxa" w:w="4320"/>
          </w:tcPr>
          <w:p>
            <w:r>
              <w:t>520.0</w:t>
            </w:r>
          </w:p>
        </w:tc>
      </w:tr>
      <w:tr>
        <w:tc>
          <w:tcPr>
            <w:tcW w:type="dxa" w:w="4320"/>
          </w:tcPr>
          <w:p>
            <w:r>
              <w:t>2026-03-23</w:t>
            </w:r>
          </w:p>
        </w:tc>
        <w:tc>
          <w:tcPr>
            <w:tcW w:type="dxa" w:w="4320"/>
          </w:tcPr>
          <w:p>
            <w:r>
              <w:t>514.7</w:t>
            </w:r>
          </w:p>
        </w:tc>
      </w:tr>
      <w:tr>
        <w:tc>
          <w:tcPr>
            <w:tcW w:type="dxa" w:w="4320"/>
          </w:tcPr>
          <w:p>
            <w:r>
              <w:t>2026-03-24</w:t>
            </w:r>
          </w:p>
        </w:tc>
        <w:tc>
          <w:tcPr>
            <w:tcW w:type="dxa" w:w="4320"/>
          </w:tcPr>
          <w:p>
            <w:r>
              <w:t>513.5</w:t>
            </w:r>
          </w:p>
        </w:tc>
      </w:tr>
      <w:tr>
        <w:tc>
          <w:tcPr>
            <w:tcW w:type="dxa" w:w="4320"/>
          </w:tcPr>
          <w:p>
            <w:r>
              <w:t>2026-03-19</w:t>
            </w:r>
          </w:p>
        </w:tc>
        <w:tc>
          <w:tcPr>
            <w:tcW w:type="dxa" w:w="4320"/>
          </w:tcPr>
          <w:p>
            <w:r>
              <w:t>504.8</w:t>
            </w:r>
          </w:p>
        </w:tc>
      </w:tr>
      <w:tr>
        <w:tc>
          <w:tcPr>
            <w:tcW w:type="dxa" w:w="4320"/>
          </w:tcPr>
          <w:p>
            <w:r>
              <w:t>2026-03-20</w:t>
            </w:r>
          </w:p>
        </w:tc>
        <w:tc>
          <w:tcPr>
            <w:tcW w:type="dxa" w:w="4320"/>
          </w:tcPr>
          <w:p>
            <w:r>
              <w:t>501.6</w:t>
            </w:r>
          </w:p>
        </w:tc>
      </w:tr>
    </w:tbl>
    <w:p>
      <w:r>
        <w:t>Días más bajos (muestra):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Consumo diario (m³)</w:t>
            </w:r>
          </w:p>
        </w:tc>
      </w:tr>
      <w:tr>
        <w:tc>
          <w:tcPr>
            <w:tcW w:type="dxa" w:w="4320"/>
          </w:tcPr>
          <w:p>
            <w:r>
              <w:t>2026-03-31</w:t>
            </w:r>
          </w:p>
        </w:tc>
        <w:tc>
          <w:tcPr>
            <w:tcW w:type="dxa" w:w="4320"/>
          </w:tcPr>
          <w:p>
            <w:r>
              <w:t>298.9</w:t>
            </w:r>
          </w:p>
        </w:tc>
      </w:tr>
      <w:tr>
        <w:tc>
          <w:tcPr>
            <w:tcW w:type="dxa" w:w="4320"/>
          </w:tcPr>
          <w:p>
            <w:r>
              <w:t>2026-03-30</w:t>
            </w:r>
          </w:p>
        </w:tc>
        <w:tc>
          <w:tcPr>
            <w:tcW w:type="dxa" w:w="4320"/>
          </w:tcPr>
          <w:p>
            <w:r>
              <w:t>312.6</w:t>
            </w:r>
          </w:p>
        </w:tc>
      </w:tr>
      <w:tr>
        <w:tc>
          <w:tcPr>
            <w:tcW w:type="dxa" w:w="4320"/>
          </w:tcPr>
          <w:p>
            <w:r>
              <w:t>2026-03-27</w:t>
            </w:r>
          </w:p>
        </w:tc>
        <w:tc>
          <w:tcPr>
            <w:tcW w:type="dxa" w:w="4320"/>
          </w:tcPr>
          <w:p>
            <w:r>
              <w:t>345.6</w:t>
            </w:r>
          </w:p>
        </w:tc>
      </w:tr>
      <w:tr>
        <w:tc>
          <w:tcPr>
            <w:tcW w:type="dxa" w:w="4320"/>
          </w:tcPr>
          <w:p>
            <w:r>
              <w:t>2026-03-17</w:t>
            </w:r>
          </w:p>
        </w:tc>
        <w:tc>
          <w:tcPr>
            <w:tcW w:type="dxa" w:w="4320"/>
          </w:tcPr>
          <w:p>
            <w:r>
              <w:t>349.5</w:t>
            </w:r>
          </w:p>
        </w:tc>
      </w:tr>
      <w:tr>
        <w:tc>
          <w:tcPr>
            <w:tcW w:type="dxa" w:w="4320"/>
          </w:tcPr>
          <w:p>
            <w:r>
              <w:t>2026-03-29</w:t>
            </w:r>
          </w:p>
        </w:tc>
        <w:tc>
          <w:tcPr>
            <w:tcW w:type="dxa" w:w="4320"/>
          </w:tcPr>
          <w:p>
            <w:r>
              <w:t>365.5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