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Proyección 30 días — Sandia Antigua (WES) vs consumo facturado</w:t>
      </w:r>
    </w:p>
    <w:p>
      <w:pPr>
        <w:jc w:val="both"/>
      </w:pPr>
      <w:r>
        <w:t>Generado 31-03-2026 21:13. Nodo 000025-22 (Sala de Bomba Sandia Antigua). Cuenta referencia 2131435-8.</w:t>
      </w:r>
    </w:p>
    <w:p>
      <w:pPr>
        <w:pStyle w:val="Heading1"/>
      </w:pPr>
      <w:r>
        <w:t>1. Base de cálculo (post corrección medidor)</w:t>
      </w:r>
    </w:p>
    <w:p>
      <w:r>
        <w:t>Periodo para el promedio diario: 11-03-2026 al 30-03-2026 (inclusive).</w:t>
      </w:r>
    </w:p>
    <w:p>
      <w:r>
        <w:t>Días con medición en WES en ese tramo: 20. Consumo acumulado en el tramo: 8.695.5 m³.</w:t>
      </w:r>
    </w:p>
    <w:p>
      <w:r>
        <w:t>Promedio diario (total ÷ días con dato): 434.77 m³/día.</w:t>
      </w:r>
    </w:p>
    <w:p>
      <w:pPr>
        <w:pStyle w:val="Heading1"/>
      </w:pPr>
      <w:r>
        <w:t>2. Proyección a 30 días</w:t>
      </w:r>
    </w:p>
    <w:p>
      <w:r>
        <w:t>Proyección lineal (promedio × 30): 13.043.2 m³.</w:t>
      </w:r>
    </w:p>
    <w:p>
      <w:r>
        <w:t>Banda por variabilidad diaria observada en el mismo tramo (mínimo y máximo diario × 30):</w:t>
      </w:r>
    </w:p>
    <w:p>
      <w:r>
        <w:t xml:space="preserve">  • Escenario bajo: 9.378.0 m³</w:t>
        <w:br/>
        <w:t xml:space="preserve">  • Escenario alto: 15.600.0 m³</w:t>
      </w:r>
    </w:p>
    <w:p>
      <w:pPr>
        <w:pStyle w:val="Heading1"/>
      </w:pPr>
      <w:r>
        <w:t>3. Referencia: consumo facturado (periodo de lecturas)</w:t>
      </w:r>
    </w:p>
    <w:p>
      <w:r>
        <w:t>Consumo facturado en la boleta (medidor acometida): 15.790.0 m³ (lecturas 18/02/2026 — 19/03/2026).</w:t>
      </w:r>
    </w:p>
    <w:p>
      <w:pPr>
        <w:pStyle w:val="Heading1"/>
      </w:pPr>
      <w:r>
        <w:t>4. Diferencia y rango de error (proyección vs factura)</w:t>
      </w:r>
    </w:p>
    <w:p>
      <w:r>
        <w:t>Proyección central − factura: -2.746.8 m³ (-17.4 % sobre el consumo facturado).</w:t>
      </w:r>
    </w:p>
    <w:p>
      <w:r>
        <w:t>¿El consumo facturado (15.790 m³) cae dentro de la banda min–max proyectada? No.</w:t>
      </w:r>
    </w:p>
    <w:p>
      <w:r>
        <w:t>La factura queda 190.0 m³ por sobre el techo proyectado.</w:t>
      </w:r>
    </w:p>
    <w:p>
      <w:r>
        <w:t>Nota: la factura mide la acometida; WES mide el punto Sandia Antigua. La banda min–max solo refleja la variabilidad diaria WES en 11–30 mar, no la incertidumbre del vínculo hidráulico con el medidor de cobro.</w:t>
      </w:r>
    </w:p>
    <w:p>
      <w:pPr>
        <w:pStyle w:val="Heading1"/>
      </w:pPr>
      <w:r>
        <w:t>5. Detalle diario (11–30 mar)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m³/día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397.30</w:t>
            </w:r>
          </w:p>
        </w:tc>
      </w:tr>
      <w:tr>
        <w:tc>
          <w:tcPr>
            <w:tcW w:type="dxa" w:w="4320"/>
          </w:tcPr>
          <w:p>
            <w:r>
              <w:t>2026-03-12</w:t>
            </w:r>
          </w:p>
        </w:tc>
        <w:tc>
          <w:tcPr>
            <w:tcW w:type="dxa" w:w="4320"/>
          </w:tcPr>
          <w:p>
            <w:r>
              <w:t>423.60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448.80</w:t>
            </w:r>
          </w:p>
        </w:tc>
      </w:tr>
      <w:tr>
        <w:tc>
          <w:tcPr>
            <w:tcW w:type="dxa" w:w="4320"/>
          </w:tcPr>
          <w:p>
            <w:r>
              <w:t>2026-03-14</w:t>
            </w:r>
          </w:p>
        </w:tc>
        <w:tc>
          <w:tcPr>
            <w:tcW w:type="dxa" w:w="4320"/>
          </w:tcPr>
          <w:p>
            <w:r>
              <w:t>436.40</w:t>
            </w:r>
          </w:p>
        </w:tc>
      </w:tr>
      <w:tr>
        <w:tc>
          <w:tcPr>
            <w:tcW w:type="dxa" w:w="4320"/>
          </w:tcPr>
          <w:p>
            <w:r>
              <w:t>2026-03-15</w:t>
            </w:r>
          </w:p>
        </w:tc>
        <w:tc>
          <w:tcPr>
            <w:tcW w:type="dxa" w:w="4320"/>
          </w:tcPr>
          <w:p>
            <w:r>
              <w:t>450.50</w:t>
            </w:r>
          </w:p>
        </w:tc>
      </w:tr>
      <w:tr>
        <w:tc>
          <w:tcPr>
            <w:tcW w:type="dxa" w:w="4320"/>
          </w:tcPr>
          <w:p>
            <w:r>
              <w:t>2026-03-16</w:t>
            </w:r>
          </w:p>
        </w:tc>
        <w:tc>
          <w:tcPr>
            <w:tcW w:type="dxa" w:w="4320"/>
          </w:tcPr>
          <w:p>
            <w:r>
              <w:t>459.90</w:t>
            </w:r>
          </w:p>
        </w:tc>
      </w:tr>
      <w:tr>
        <w:tc>
          <w:tcPr>
            <w:tcW w:type="dxa" w:w="4320"/>
          </w:tcPr>
          <w:p>
            <w:r>
              <w:t>2026-03-17</w:t>
            </w:r>
          </w:p>
        </w:tc>
        <w:tc>
          <w:tcPr>
            <w:tcW w:type="dxa" w:w="4320"/>
          </w:tcPr>
          <w:p>
            <w:r>
              <w:t>349.50</w:t>
            </w:r>
          </w:p>
        </w:tc>
      </w:tr>
      <w:tr>
        <w:tc>
          <w:tcPr>
            <w:tcW w:type="dxa" w:w="4320"/>
          </w:tcPr>
          <w:p>
            <w:r>
              <w:t>2026-03-18</w:t>
            </w:r>
          </w:p>
        </w:tc>
        <w:tc>
          <w:tcPr>
            <w:tcW w:type="dxa" w:w="4320"/>
          </w:tcPr>
          <w:p>
            <w:r>
              <w:t>398.30</w:t>
            </w:r>
          </w:p>
        </w:tc>
      </w:tr>
      <w:tr>
        <w:tc>
          <w:tcPr>
            <w:tcW w:type="dxa" w:w="4320"/>
          </w:tcPr>
          <w:p>
            <w:r>
              <w:t>2026-03-19</w:t>
            </w:r>
          </w:p>
        </w:tc>
        <w:tc>
          <w:tcPr>
            <w:tcW w:type="dxa" w:w="4320"/>
          </w:tcPr>
          <w:p>
            <w:r>
              <w:t>504.80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501.60</w:t>
            </w:r>
          </w:p>
        </w:tc>
      </w:tr>
      <w:tr>
        <w:tc>
          <w:tcPr>
            <w:tcW w:type="dxa" w:w="4320"/>
          </w:tcPr>
          <w:p>
            <w:r>
              <w:t>2026-03-21</w:t>
            </w:r>
          </w:p>
        </w:tc>
        <w:tc>
          <w:tcPr>
            <w:tcW w:type="dxa" w:w="4320"/>
          </w:tcPr>
          <w:p>
            <w:r>
              <w:t>520.00</w:t>
            </w:r>
          </w:p>
        </w:tc>
      </w:tr>
      <w:tr>
        <w:tc>
          <w:tcPr>
            <w:tcW w:type="dxa" w:w="4320"/>
          </w:tcPr>
          <w:p>
            <w:r>
              <w:t>2026-03-22</w:t>
            </w:r>
          </w:p>
        </w:tc>
        <w:tc>
          <w:tcPr>
            <w:tcW w:type="dxa" w:w="4320"/>
          </w:tcPr>
          <w:p>
            <w:r>
              <w:t>494.50</w:t>
            </w:r>
          </w:p>
        </w:tc>
      </w:tr>
      <w:tr>
        <w:tc>
          <w:tcPr>
            <w:tcW w:type="dxa" w:w="4320"/>
          </w:tcPr>
          <w:p>
            <w:r>
              <w:t>2026-03-23</w:t>
            </w:r>
          </w:p>
        </w:tc>
        <w:tc>
          <w:tcPr>
            <w:tcW w:type="dxa" w:w="4320"/>
          </w:tcPr>
          <w:p>
            <w:r>
              <w:t>514.70</w:t>
            </w:r>
          </w:p>
        </w:tc>
      </w:tr>
      <w:tr>
        <w:tc>
          <w:tcPr>
            <w:tcW w:type="dxa" w:w="4320"/>
          </w:tcPr>
          <w:p>
            <w:r>
              <w:t>2026-03-24</w:t>
            </w:r>
          </w:p>
        </w:tc>
        <w:tc>
          <w:tcPr>
            <w:tcW w:type="dxa" w:w="4320"/>
          </w:tcPr>
          <w:p>
            <w:r>
              <w:t>513.50</w:t>
            </w:r>
          </w:p>
        </w:tc>
      </w:tr>
      <w:tr>
        <w:tc>
          <w:tcPr>
            <w:tcW w:type="dxa" w:w="4320"/>
          </w:tcPr>
          <w:p>
            <w:r>
              <w:t>2026-03-25</w:t>
            </w:r>
          </w:p>
        </w:tc>
        <w:tc>
          <w:tcPr>
            <w:tcW w:type="dxa" w:w="4320"/>
          </w:tcPr>
          <w:p>
            <w:r>
              <w:t>468.50</w:t>
            </w:r>
          </w:p>
        </w:tc>
      </w:tr>
      <w:tr>
        <w:tc>
          <w:tcPr>
            <w:tcW w:type="dxa" w:w="4320"/>
          </w:tcPr>
          <w:p>
            <w:r>
              <w:t>2026-03-26</w:t>
            </w:r>
          </w:p>
        </w:tc>
        <w:tc>
          <w:tcPr>
            <w:tcW w:type="dxa" w:w="4320"/>
          </w:tcPr>
          <w:p>
            <w:r>
              <w:t>421.80</w:t>
            </w:r>
          </w:p>
        </w:tc>
      </w:tr>
      <w:tr>
        <w:tc>
          <w:tcPr>
            <w:tcW w:type="dxa" w:w="4320"/>
          </w:tcPr>
          <w:p>
            <w:r>
              <w:t>2026-03-27</w:t>
            </w:r>
          </w:p>
        </w:tc>
        <w:tc>
          <w:tcPr>
            <w:tcW w:type="dxa" w:w="4320"/>
          </w:tcPr>
          <w:p>
            <w:r>
              <w:t>345.60</w:t>
            </w:r>
          </w:p>
        </w:tc>
      </w:tr>
      <w:tr>
        <w:tc>
          <w:tcPr>
            <w:tcW w:type="dxa" w:w="4320"/>
          </w:tcPr>
          <w:p>
            <w:r>
              <w:t>2026-03-28</w:t>
            </w:r>
          </w:p>
        </w:tc>
        <w:tc>
          <w:tcPr>
            <w:tcW w:type="dxa" w:w="4320"/>
          </w:tcPr>
          <w:p>
            <w:r>
              <w:t>368.10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365.50</w:t>
            </w:r>
          </w:p>
        </w:tc>
      </w:tr>
      <w:tr>
        <w:tc>
          <w:tcPr>
            <w:tcW w:type="dxa" w:w="4320"/>
          </w:tcPr>
          <w:p>
            <w:r>
              <w:t>2026-03-30</w:t>
            </w:r>
          </w:p>
        </w:tc>
        <w:tc>
          <w:tcPr>
            <w:tcW w:type="dxa" w:w="4320"/>
          </w:tcPr>
          <w:p>
            <w:r>
              <w:t>312.60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