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Maipú</w:t>
      </w:r>
    </w:p>
    <w:p>
      <w:pPr>
        <w:jc w:val="center"/>
      </w:pPr>
      <w:r>
        <w:t>MONITOREO WES</w:t>
        <w:br/>
        <w:t>Análisis consolidado de 3 puntos de monitoreo</w:t>
        <w:br/>
        <w:t>Rango: 01-02-26 - 28-02-26</w:t>
        <w:br/>
        <w:t>Generado: 02-03-26 14:42</w:t>
      </w:r>
    </w:p>
    <w:p>
      <w:pPr>
        <w:pStyle w:val="Heading1"/>
        <w:keepNext/>
        <w:widowControl/>
        <w:spacing w:after="60"/>
      </w:pPr>
      <w:r>
        <w:rPr>
          <w:b/>
          <w:color w:val="003366"/>
        </w:rPr>
        <w:t>RESUMEN EJECUTIVO AGREGADO</w:t>
      </w:r>
    </w:p>
    <w:p>
      <w:r>
        <w:t>Puntos de monitoreo analizados: 3.</w:t>
        <w:br/>
      </w:r>
      <w:r>
        <w:t>Consumo total agregado: 7.231 m³.</w:t>
        <w:br/>
      </w:r>
      <w:r>
        <w:t>Consumo promedio por punto: 2.410,3 m³.</w:t>
        <w:br/>
      </w:r>
      <w:r>
        <w:t>Total de alertas registradas: 20.</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Impulsión Falabella, con un total de 4.450,4 m³ durante el periodo analizado. Este valor representa un 84,6% por encima del promedio (2.410,3 m³ por punto), indicando una demanda significativamente superior a la media. Por otro lado, el punto con menor consumo es Placa Bancaria, con un total de 1.224,3 m³. Este valor representa un 49,2% por debajo del promedio, mostrando una demanda significativamente inferior. La diferencia entre el punto de mayor y menor consumo es considerable, siendo el consumo máximo aproximadamente 3,6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200"/>
        <w:gridCol w:w="1137"/>
        <w:gridCol w:w="1011"/>
        <w:gridCol w:w="1516"/>
        <w:gridCol w:w="151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Impulsión Falabella</w:t>
            </w:r>
          </w:p>
        </w:tc>
        <w:tc>
          <w:tcPr>
            <w:tcW w:type="dxa" w:w="1440"/>
            <w:noWrap/>
          </w:tcPr>
          <w:p>
            <w:r>
              <w:t>4.450,4</w:t>
            </w:r>
          </w:p>
        </w:tc>
        <w:tc>
          <w:tcPr>
            <w:tcW w:type="dxa" w:w="1440"/>
            <w:noWrap/>
          </w:tcPr>
          <w:p>
            <w:r>
              <w:t>6</w:t>
            </w:r>
          </w:p>
        </w:tc>
        <w:tc>
          <w:tcPr>
            <w:tcW w:type="dxa" w:w="1440"/>
            <w:noWrap/>
          </w:tcPr>
          <w:p>
            <w:pPr>
              <w:jc w:val="left"/>
            </w:pPr>
            <w:r>
              <w:t>837,6 m³</w:t>
            </w:r>
          </w:p>
          <w:p>
            <w:pPr>
              <w:jc w:val="left"/>
            </w:pPr>
            <w:r>
              <w:t>(28 días, 100%)</w:t>
            </w:r>
          </w:p>
        </w:tc>
        <w:tc>
          <w:tcPr>
            <w:tcW w:type="dxa" w:w="1440"/>
            <w:noWrap/>
          </w:tcPr>
          <w:p>
            <w:pPr>
              <w:jc w:val="left"/>
            </w:pPr>
            <w:r>
              <w:t>3.350,4 m³</w:t>
            </w:r>
          </w:p>
          <w:p>
            <w:pPr>
              <w:jc w:val="left"/>
            </w:pPr>
            <w:r>
              <w:t>(75,3%)</w:t>
            </w:r>
          </w:p>
        </w:tc>
      </w:tr>
      <w:tr>
        <w:tc>
          <w:tcPr>
            <w:tcW w:type="dxa" w:w="1440"/>
            <w:noWrap/>
          </w:tcPr>
          <w:p>
            <w:r>
              <w:t>2</w:t>
            </w:r>
          </w:p>
        </w:tc>
        <w:tc>
          <w:tcPr>
            <w:tcW w:type="dxa" w:w="1440"/>
            <w:noWrap/>
          </w:tcPr>
          <w:p>
            <w:r>
              <w:t>Impulsión Ripley</w:t>
            </w:r>
          </w:p>
        </w:tc>
        <w:tc>
          <w:tcPr>
            <w:tcW w:type="dxa" w:w="1440"/>
            <w:noWrap/>
          </w:tcPr>
          <w:p>
            <w:r>
              <w:t>1.556,3</w:t>
            </w:r>
          </w:p>
        </w:tc>
        <w:tc>
          <w:tcPr>
            <w:tcW w:type="dxa" w:w="1440"/>
            <w:noWrap/>
          </w:tcPr>
          <w:p>
            <w:r>
              <w:t>8</w:t>
            </w:r>
          </w:p>
        </w:tc>
        <w:tc>
          <w:tcPr>
            <w:tcW w:type="dxa" w:w="1440"/>
            <w:noWrap/>
          </w:tcPr>
          <w:p>
            <w:pPr>
              <w:jc w:val="left"/>
            </w:pPr>
            <w:r>
              <w:t>39,8 m³</w:t>
            </w:r>
          </w:p>
          <w:p>
            <w:pPr>
              <w:jc w:val="left"/>
            </w:pPr>
            <w:r>
              <w:t>(23 días, 82,1%)</w:t>
            </w:r>
          </w:p>
        </w:tc>
        <w:tc>
          <w:tcPr>
            <w:tcW w:type="dxa" w:w="1440"/>
            <w:noWrap/>
          </w:tcPr>
          <w:p>
            <w:pPr>
              <w:jc w:val="left"/>
            </w:pPr>
            <w:r>
              <w:t>0,0 m³</w:t>
            </w:r>
          </w:p>
          <w:p>
            <w:pPr>
              <w:jc w:val="left"/>
            </w:pPr>
            <w:r>
              <w:t>(0,0%)</w:t>
            </w:r>
          </w:p>
        </w:tc>
      </w:tr>
      <w:tr>
        <w:tc>
          <w:tcPr>
            <w:tcW w:type="dxa" w:w="1440"/>
            <w:noWrap/>
          </w:tcPr>
          <w:p>
            <w:r>
              <w:t>3</w:t>
            </w:r>
          </w:p>
        </w:tc>
        <w:tc>
          <w:tcPr>
            <w:tcW w:type="dxa" w:w="1440"/>
            <w:noWrap/>
          </w:tcPr>
          <w:p>
            <w:r>
              <w:t>Placa Bancaria</w:t>
            </w:r>
          </w:p>
        </w:tc>
        <w:tc>
          <w:tcPr>
            <w:tcW w:type="dxa" w:w="1440"/>
            <w:noWrap/>
          </w:tcPr>
          <w:p>
            <w:r>
              <w:t>1.224,3</w:t>
            </w:r>
          </w:p>
        </w:tc>
        <w:tc>
          <w:tcPr>
            <w:tcW w:type="dxa" w:w="1440"/>
            <w:noWrap/>
          </w:tcPr>
          <w:p>
            <w:r>
              <w:t>6</w:t>
            </w:r>
          </w:p>
        </w:tc>
        <w:tc>
          <w:tcPr>
            <w:tcW w:type="dxa" w:w="1440"/>
            <w:noWrap/>
          </w:tcPr>
          <w:p>
            <w:pPr>
              <w:jc w:val="left"/>
            </w:pPr>
            <w:r>
              <w:t>58,6 m³</w:t>
            </w:r>
          </w:p>
          <w:p>
            <w:pPr>
              <w:jc w:val="left"/>
            </w:pPr>
            <w:r>
              <w:t>(6 días, 21,4%)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7.231</w:t>
            </w:r>
          </w:p>
        </w:tc>
        <w:tc>
          <w:tcPr>
            <w:tcW w:type="dxa" w:w="1440"/>
            <w:noWrap/>
            <w:shd w:val="clear" w:fill="FFE6E6"/>
          </w:tcPr>
          <w:p>
            <w:pPr>
              <w:jc w:val="left"/>
            </w:pPr>
            <w:r>
              <w:rPr>
                <w:b/>
                <w:color w:val="FF0000"/>
              </w:rPr>
              <w:t>20</w:t>
            </w:r>
          </w:p>
        </w:tc>
        <w:tc>
          <w:tcPr>
            <w:tcW w:type="dxa" w:w="1440"/>
            <w:noWrap/>
            <w:shd w:val="clear" w:fill="FFE6E6"/>
          </w:tcPr>
          <w:p>
            <w:pPr>
              <w:jc w:val="left"/>
            </w:pPr>
            <w:r>
              <w:rPr>
                <w:b/>
                <w:color w:val="FF0000"/>
              </w:rPr>
              <w:t>936 m³</w:t>
            </w:r>
          </w:p>
        </w:tc>
        <w:tc>
          <w:tcPr>
            <w:tcW w:type="dxa" w:w="1440"/>
            <w:noWrap/>
            <w:shd w:val="clear" w:fill="FFE6E6"/>
          </w:tcPr>
          <w:p>
            <w:pPr>
              <w:jc w:val="left"/>
            </w:pPr>
            <w:r>
              <w:rPr>
                <w:b/>
                <w:color w:val="FF0000"/>
              </w:rPr>
              <w:t>3.350,4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PLACA BANCARIA (18-02-26):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8.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Placa Bancaria registró 6 alerta(s) durante 6 día(s) del periodo analizado. La periodicidad de las alertas es intermitente (más del 20% de los días).</w:t>
      </w:r>
    </w:p>
    <w:p/>
    <w:p>
      <w:pPr>
        <w:keepNext/>
        <w:widowControl/>
        <w:spacing w:after="60"/>
      </w:pPr>
      <w:r>
        <w:rPr>
          <w:b/>
          <w:color w:val="003366"/>
        </w:rPr>
        <w:t>DÍA CON MAYOR CONSUMO NOCTURNO - IMPULSIÓN FALABELLA (22-02-26):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9.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Falabella registró 6 alerta(s) durante 5 día(s) del periodo analizado. La periodicidad de las alertas es puntual (menos del 20% de los días). Se identificó una proyección de filtración de 3.291,1 m³ ($4.104.027), lo que indica un patrón de fuga constante durante el periodo.</w:t>
      </w:r>
    </w:p>
    <w:p/>
    <w:p>
      <w:pPr>
        <w:keepNext/>
        <w:widowControl/>
        <w:spacing w:after="60"/>
      </w:pPr>
      <w:r>
        <w:rPr>
          <w:b/>
          <w:color w:val="003366"/>
        </w:rPr>
        <w:t>DÍA CON MAYOR CONSUMO NOCTURNO - IMPULSIÓN RIPLEY (24-02-26):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10.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Ripley registró 8 alerta(s) durante 7 día(s) del periodo analizado. La periodicidad de las alertas es intermitente (más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Impulsión Falabella, con un volumen proyectado de 3.350,4 m³ (75,3%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