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color w:val="000000"/>
        </w:rPr>
        <w:t>3) ¿Qué hallazgos encontramos? (Análisis de consumo)</w:t>
      </w:r>
      <w:r>
        <w:rPr>
          <w:b w:val="0"/>
          <w:color w:val="000000"/>
        </w:rPr>
        <w:br/>
      </w:r>
      <w:r>
        <w:rPr>
          <w:b w:val="0"/>
          <w:color w:val="000000"/>
        </w:rPr>
        <w:br/>
        <w:t>Período analizado: 01/03/2026 a 27/03/2026.</w:t>
      </w:r>
      <w:r>
        <w:rPr>
          <w:b w:val="0"/>
          <w:color w:val="000000"/>
        </w:rPr>
        <w:br/>
      </w:r>
      <w:r>
        <w:rPr>
          <w:b/>
          <w:color w:val="000000"/>
        </w:rPr>
        <w:br/>
        <w:t>Síntesis ejecutiva</w:t>
      </w:r>
      <w:r>
        <w:rPr>
          <w:b w:val="0"/>
          <w:color w:val="000000"/>
        </w:rPr>
        <w:br/>
        <w:t>En el período considerado, Parque Arauco Mall Maipú (puntos de monitoreo del mall incluidos en este reporte) acumuló un volumen total de 6.097,1 m³. Contando días con medición a nivel agregado, se observan 27 día(s) con datos; el promedio diario agregado resulta de 225,8 m³/día (total de consumo diario sumado entre puntos, dividido por días con registro). El día de mayor consumo global (suma de todos los puntos) fue 08-03-2026 con 170,4 m³; el día de menor consumo global fue 11-03-2026 con 7,7 m³.</w:t>
      </w:r>
      <w:r>
        <w:rPr>
          <w:b w:val="0"/>
          <w:color w:val="000000"/>
        </w:rPr>
        <w:br/>
      </w:r>
      <w:r>
        <w:rPr>
          <w:b w:val="0"/>
          <w:color w:val="000000"/>
        </w:rPr>
        <w:br/>
        <w:t>Distribución por punto de monitoreo (universo: 3 puntos). Los cinco mayores aportes acumulados del período son:</w:t>
      </w:r>
      <w:r>
        <w:rPr>
          <w:b w:val="0"/>
          <w:color w:val="000000"/>
        </w:rPr>
        <w:br/>
        <w:t>1) Impulsión Falabella (000025-09): 3.497,1 m³ (57,4 % del total agregado)</w:t>
      </w:r>
      <w:r>
        <w:rPr>
          <w:b w:val="0"/>
          <w:color w:val="000000"/>
        </w:rPr>
        <w:br/>
        <w:t>2) Impulsión Ripley (000025-10): 1.710,7 m³ (28,1 % del total agregado)</w:t>
      </w:r>
      <w:r>
        <w:rPr>
          <w:b w:val="0"/>
          <w:color w:val="000000"/>
        </w:rPr>
        <w:br/>
        <w:t>3) Placa Bancaria (000025-08): 889,3 m³ (14,6 % del total agregado)</w:t>
      </w:r>
      <w:r>
        <w:rPr>
          <w:b w:val="0"/>
          <w:color w:val="000000"/>
        </w:rPr>
        <w:br/>
      </w:r>
      <w:r>
        <w:rPr>
          <w:b w:val="0"/>
          <w:color w:val="000000"/>
        </w:rPr>
        <w:br/>
        <w:t>Los puntos con menor consumo acumulado en el período (referencia para priorizar revisión o confirmar operación en cero / sin datos) son:</w:t>
      </w:r>
      <w:r>
        <w:rPr>
          <w:b w:val="0"/>
          <w:color w:val="000000"/>
        </w:rPr>
        <w:br/>
        <w:t>Placa Bancaria (000025-08): 889,3 m³</w:t>
      </w:r>
      <w:r>
        <w:rPr>
          <w:b w:val="0"/>
          <w:color w:val="000000"/>
        </w:rPr>
        <w:br/>
        <w:t>Impulsión Ripley (000025-10): 1.710,7 m³</w:t>
      </w:r>
      <w:r>
        <w:rPr>
          <w:b w:val="0"/>
          <w:color w:val="000000"/>
        </w:rPr>
        <w:br/>
        <w:t>Impulsión Falabella (000025-09): 3.497,1 m³</w:t>
      </w:r>
      <w:r>
        <w:rPr>
          <w:b w:val="0"/>
          <w:color w:val="000000"/>
        </w:rPr>
        <w:br/>
      </w:r>
      <w:r>
        <w:rPr>
          <w:b w:val="0"/>
          <w:color w:val="000000"/>
        </w:rPr>
        <w:br/>
        <w:t>Puntos con consumo acumulado cero o sin registros en el período (referencia): 0.</w:t>
      </w:r>
      <w:r>
        <w:rPr>
          <w:b w:val="0"/>
          <w:color w:val="000000"/>
        </w:rPr>
        <w:br/>
      </w:r>
      <w:r>
        <w:rPr>
          <w:b/>
          <w:color w:val="000000"/>
        </w:rPr>
        <w:br/>
        <w:t>Profundización de hallazgos</w:t>
      </w:r>
      <w:r>
        <w:rPr>
          <w:b w:val="0"/>
          <w:color w:val="000000"/>
        </w:rPr>
        <w:br/>
        <w:t>El detalle de métricas por punto (consumo diario y nocturno, alertas, proyecciones y gráficas) se desarrolla en las secciones siguientes de este mismo documento, incluyendo análisis de periodicidad de alertas y comparaciones cuando el modelo lo permite.</w:t>
      </w:r>
    </w:p>
    <w:p>
      <w:pPr>
        <w:pStyle w:val="Title"/>
      </w:pPr>
      <w:r>
        <w:rPr>
          <w:sz w:val="48"/>
        </w:rPr>
        <w:t>Reporte Agregado - Parque Arauco MAll Maipú</w:t>
      </w:r>
    </w:p>
    <w:p>
      <w:pPr>
        <w:jc w:val="center"/>
      </w:pPr>
      <w:r>
        <w:t>MONITOREO WES</w:t>
        <w:br/>
        <w:t>Análisis consolidado de 3 puntos de monitoreo</w:t>
        <w:br/>
        <w:t>Rango: 01-03-26 - 27-03-26</w:t>
        <w:br/>
        <w:t>Generado: 30-03-26 19:42</w:t>
      </w:r>
    </w:p>
    <w:p>
      <w:pPr>
        <w:pStyle w:val="Heading1"/>
        <w:keepNext/>
        <w:widowControl/>
        <w:spacing w:after="60"/>
      </w:pPr>
      <w:r>
        <w:rPr>
          <w:b/>
          <w:color w:val="003366"/>
        </w:rPr>
        <w:t>RESUMEN EJECUTIVO AGREGADO</w:t>
      </w:r>
    </w:p>
    <w:p>
      <w:r>
        <w:t>Puntos de monitoreo analizados: 3.</w:t>
        <w:br/>
      </w:r>
      <w:r>
        <w:t>Consumo total agregado: 6.097,1 m³.</w:t>
        <w:br/>
      </w:r>
      <w:r>
        <w:t>Consumo promedio por punto: 2.032,4 m³.</w:t>
        <w:br/>
      </w:r>
      <w:r>
        <w:t>Total de alertas registradas: 16.</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Impulsión Falabella, con un total de 3.497,1 m³ durante el periodo analizado. Este valor representa un 72,1% por encima del promedio (2.032,4 m³ por punto), indicando una demanda significativamente superior a la media. Por otro lado, el punto con menor consumo es Placa Bancaria, con un total de 889,3 m³. Este valor representa un 56,2% por debajo del promedio, mostrando una demanda significativamente inferior. La diferencia entre el punto de mayor y menor consumo es considerable, siendo el consumo máximo aproximadamente 3,9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189"/>
        <w:gridCol w:w="1126"/>
        <w:gridCol w:w="1001"/>
        <w:gridCol w:w="1564"/>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Impulsión Falabella</w:t>
            </w:r>
          </w:p>
        </w:tc>
        <w:tc>
          <w:tcPr>
            <w:tcW w:type="dxa" w:w="1440"/>
            <w:noWrap/>
          </w:tcPr>
          <w:p>
            <w:r>
              <w:t>3.497,1</w:t>
            </w:r>
          </w:p>
        </w:tc>
        <w:tc>
          <w:tcPr>
            <w:tcW w:type="dxa" w:w="1440"/>
            <w:noWrap/>
          </w:tcPr>
          <w:p>
            <w:r>
              <w:t>3</w:t>
            </w:r>
          </w:p>
        </w:tc>
        <w:tc>
          <w:tcPr>
            <w:tcW w:type="dxa" w:w="1440"/>
            <w:noWrap/>
          </w:tcPr>
          <w:p>
            <w:pPr>
              <w:jc w:val="left"/>
            </w:pPr>
            <w:r>
              <w:t>569,4 m³</w:t>
            </w:r>
          </w:p>
          <w:p>
            <w:pPr>
              <w:jc w:val="left"/>
            </w:pPr>
            <w:r>
              <w:t>(27 días, 100%)</w:t>
            </w:r>
          </w:p>
        </w:tc>
        <w:tc>
          <w:tcPr>
            <w:tcW w:type="dxa" w:w="1440"/>
            <w:noWrap/>
          </w:tcPr>
          <w:p>
            <w:pPr>
              <w:jc w:val="left"/>
            </w:pPr>
            <w:r>
              <w:t>2.277,7 m³</w:t>
            </w:r>
          </w:p>
          <w:p>
            <w:pPr>
              <w:jc w:val="left"/>
            </w:pPr>
            <w:r>
              <w:t>(65,1%)</w:t>
            </w:r>
          </w:p>
        </w:tc>
      </w:tr>
      <w:tr>
        <w:tc>
          <w:tcPr>
            <w:tcW w:type="dxa" w:w="1440"/>
            <w:noWrap/>
          </w:tcPr>
          <w:p>
            <w:r>
              <w:t>2</w:t>
            </w:r>
          </w:p>
        </w:tc>
        <w:tc>
          <w:tcPr>
            <w:tcW w:type="dxa" w:w="1440"/>
            <w:noWrap/>
          </w:tcPr>
          <w:p>
            <w:r>
              <w:t>Impulsión Ripley</w:t>
            </w:r>
          </w:p>
        </w:tc>
        <w:tc>
          <w:tcPr>
            <w:tcW w:type="dxa" w:w="1440"/>
            <w:noWrap/>
          </w:tcPr>
          <w:p>
            <w:r>
              <w:t>1.710,7</w:t>
            </w:r>
          </w:p>
        </w:tc>
        <w:tc>
          <w:tcPr>
            <w:tcW w:type="dxa" w:w="1440"/>
            <w:noWrap/>
          </w:tcPr>
          <w:p>
            <w:r>
              <w:t>3</w:t>
            </w:r>
          </w:p>
        </w:tc>
        <w:tc>
          <w:tcPr>
            <w:tcW w:type="dxa" w:w="1440"/>
            <w:noWrap/>
          </w:tcPr>
          <w:p>
            <w:pPr>
              <w:jc w:val="left"/>
            </w:pPr>
            <w:r>
              <w:t>189,8 m³</w:t>
            </w:r>
          </w:p>
          <w:p>
            <w:pPr>
              <w:jc w:val="left"/>
            </w:pPr>
            <w:r>
              <w:t>(15 días, 55,6%)</w:t>
            </w:r>
          </w:p>
        </w:tc>
        <w:tc>
          <w:tcPr>
            <w:tcW w:type="dxa" w:w="1440"/>
            <w:noWrap/>
          </w:tcPr>
          <w:p>
            <w:pPr>
              <w:jc w:val="left"/>
            </w:pPr>
            <w:r>
              <w:t>0,0 m³</w:t>
            </w:r>
          </w:p>
          <w:p>
            <w:pPr>
              <w:jc w:val="left"/>
            </w:pPr>
            <w:r>
              <w:t>(0,0%)</w:t>
            </w:r>
          </w:p>
        </w:tc>
      </w:tr>
      <w:tr>
        <w:tc>
          <w:tcPr>
            <w:tcW w:type="dxa" w:w="1440"/>
            <w:noWrap/>
          </w:tcPr>
          <w:p>
            <w:r>
              <w:t>3</w:t>
            </w:r>
          </w:p>
        </w:tc>
        <w:tc>
          <w:tcPr>
            <w:tcW w:type="dxa" w:w="1440"/>
            <w:noWrap/>
          </w:tcPr>
          <w:p>
            <w:r>
              <w:t>Placa Bancaria</w:t>
            </w:r>
          </w:p>
        </w:tc>
        <w:tc>
          <w:tcPr>
            <w:tcW w:type="dxa" w:w="1440"/>
            <w:noWrap/>
          </w:tcPr>
          <w:p>
            <w:r>
              <w:t>889,3</w:t>
            </w:r>
          </w:p>
        </w:tc>
        <w:tc>
          <w:tcPr>
            <w:tcW w:type="dxa" w:w="1440"/>
            <w:noWrap/>
          </w:tcPr>
          <w:p>
            <w:r>
              <w:t>10</w:t>
            </w:r>
          </w:p>
        </w:tc>
        <w:tc>
          <w:tcPr>
            <w:tcW w:type="dxa" w:w="1440"/>
            <w:noWrap/>
          </w:tcPr>
          <w:p>
            <w:pPr>
              <w:jc w:val="left"/>
            </w:pPr>
            <w:r>
              <w:t>3 m³</w:t>
            </w:r>
          </w:p>
          <w:p>
            <w:pPr>
              <w:jc w:val="left"/>
            </w:pPr>
            <w:r>
              <w:t>(8 días, 29,6%)</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6.097,1</w:t>
            </w:r>
          </w:p>
        </w:tc>
        <w:tc>
          <w:tcPr>
            <w:tcW w:type="dxa" w:w="1440"/>
            <w:noWrap/>
            <w:shd w:val="clear" w:fill="FFE6E6"/>
          </w:tcPr>
          <w:p>
            <w:pPr>
              <w:jc w:val="left"/>
            </w:pPr>
            <w:r>
              <w:rPr>
                <w:b/>
                <w:color w:val="FF0000"/>
              </w:rPr>
              <w:t>16</w:t>
            </w:r>
          </w:p>
        </w:tc>
        <w:tc>
          <w:tcPr>
            <w:tcW w:type="dxa" w:w="1440"/>
            <w:noWrap/>
            <w:shd w:val="clear" w:fill="FFE6E6"/>
          </w:tcPr>
          <w:p>
            <w:pPr>
              <w:jc w:val="left"/>
            </w:pPr>
            <w:r>
              <w:rPr>
                <w:b/>
                <w:color w:val="FF0000"/>
              </w:rPr>
              <w:t>762,1 m³</w:t>
            </w:r>
          </w:p>
        </w:tc>
        <w:tc>
          <w:tcPr>
            <w:tcW w:type="dxa" w:w="1440"/>
            <w:noWrap/>
            <w:shd w:val="clear" w:fill="FFE6E6"/>
          </w:tcPr>
          <w:p>
            <w:pPr>
              <w:jc w:val="left"/>
            </w:pPr>
            <w:r>
              <w:rPr>
                <w:b/>
                <w:color w:val="FF0000"/>
              </w:rPr>
              <w:t>2.277,7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PLACA BANCARIA (12-03-26):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08.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Placa Bancaria registró 10 alerta(s) durante 10 día(s) del periodo analizado. La periodicidad de las alertas es intermitente (más del 20% de los días).</w:t>
      </w:r>
    </w:p>
    <w:p/>
    <w:p>
      <w:pPr>
        <w:keepNext/>
        <w:widowControl/>
        <w:spacing w:after="60"/>
      </w:pPr>
      <w:r>
        <w:rPr>
          <w:b/>
          <w:color w:val="003366"/>
        </w:rPr>
        <w:t>DÍA CON MAYOR CONSUMO NOCTURNO - IMPULSIÓN FALABELLA (08-03-26):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09.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Falabella registró 3 alerta(s) durante 3 día(s) del periodo analizado. La periodicidad de las alertas es puntual (menos del 20% de los días). Se identificó una proyección de filtración de 2.277,7 m³ ($2.840.267), lo que indica un patrón de fuga constante durante el periodo.</w:t>
      </w:r>
    </w:p>
    <w:p/>
    <w:p>
      <w:pPr>
        <w:keepNext/>
        <w:widowControl/>
        <w:spacing w:after="60"/>
      </w:pPr>
      <w:r>
        <w:rPr>
          <w:b/>
          <w:color w:val="003366"/>
        </w:rPr>
        <w:t>DÍA CON MAYOR CONSUMO NOCTURNO - IMPULSIÓN RIPLEY (09-03-26):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10.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Impulsión Ripley registró 3 alerta(s) durante 3 día(s) del periodo analizado. La periodicidad de las alertas es puntual (menos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Impulsión Falabella, con un volumen proyectado de 2.277,7 m³ (65,1%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