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Maipú</w:t>
      </w:r>
    </w:p>
    <w:p>
      <w:pPr>
        <w:jc w:val="center"/>
      </w:pPr>
      <w:r>
        <w:t>MONITOREO WES</w:t>
        <w:br/>
        <w:t>Análisis consolidado de 5 puntos de monitoreo</w:t>
        <w:br/>
        <w:t>Rango: 02-02-26 - 31-03-26</w:t>
        <w:br/>
        <w:t>Generado: 31-03-26 20:50</w:t>
      </w:r>
    </w:p>
    <w:p>
      <w:pPr>
        <w:pStyle w:val="Heading1"/>
        <w:keepNext/>
        <w:widowControl/>
        <w:spacing w:after="60"/>
      </w:pPr>
      <w:r>
        <w:rPr>
          <w:b/>
          <w:color w:val="003366"/>
        </w:rPr>
        <w:t>RESUMEN EJECUTIVO AGREGADO</w:t>
      </w:r>
    </w:p>
    <w:p>
      <w:r>
        <w:t>Puntos de monitoreo analizados: 5.</w:t>
        <w:br/>
      </w:r>
      <w:r>
        <w:t>Consumo total agregado: 13.853,5 m³.</w:t>
        <w:br/>
      </w:r>
      <w:r>
        <w:t>Consumo promedio por punto: 2.770,7 m³.</w:t>
        <w:br/>
      </w:r>
      <w:r>
        <w:t>Total de alertas registradas: 81.</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Impulsión Falabella, con un total de 7.822,6 m³ durante el periodo analizado. Este valor representa un 182,3% por encima del promedio (2.770,7 m³ por punto), indicando una demanda significativamente superior a la media. Por otro lado, el punto con menor consumo es Salida de emergencia pasillo 1 ARROW, con un total de 2,5 m³. Este valor representa un 99,9% por debajo del promedio, mostrando una demanda significativamente inferior. La diferencia entre el punto de mayor y menor consumo es considerable, siendo el consumo máximo aproximadamente 3.192,9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24"/>
        <w:gridCol w:w="1919"/>
        <w:gridCol w:w="1050"/>
        <w:gridCol w:w="1050"/>
        <w:gridCol w:w="1439"/>
        <w:gridCol w:w="127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Impulsión Falabella</w:t>
            </w:r>
          </w:p>
        </w:tc>
        <w:tc>
          <w:tcPr>
            <w:tcW w:type="dxa" w:w="1440"/>
            <w:noWrap/>
          </w:tcPr>
          <w:p>
            <w:r>
              <w:t>7.822,6</w:t>
            </w:r>
          </w:p>
        </w:tc>
        <w:tc>
          <w:tcPr>
            <w:tcW w:type="dxa" w:w="1440"/>
            <w:noWrap/>
          </w:tcPr>
          <w:p>
            <w:r>
              <w:t>10</w:t>
            </w:r>
          </w:p>
        </w:tc>
        <w:tc>
          <w:tcPr>
            <w:tcW w:type="dxa" w:w="1440"/>
            <w:noWrap/>
          </w:tcPr>
          <w:p>
            <w:pPr>
              <w:jc w:val="left"/>
            </w:pPr>
            <w:r>
              <w:t>1.388,9 m³</w:t>
            </w:r>
          </w:p>
          <w:p>
            <w:pPr>
              <w:jc w:val="left"/>
            </w:pPr>
            <w:r>
              <w:t>(55 días, 94,8%)</w:t>
            </w:r>
          </w:p>
        </w:tc>
        <w:tc>
          <w:tcPr>
            <w:tcW w:type="dxa" w:w="1440"/>
            <w:noWrap/>
          </w:tcPr>
          <w:p>
            <w:pPr>
              <w:jc w:val="left"/>
            </w:pPr>
            <w:r>
              <w:t>0,0 m³</w:t>
            </w:r>
          </w:p>
          <w:p>
            <w:pPr>
              <w:jc w:val="left"/>
            </w:pPr>
            <w:r>
              <w:t>(0,0%)</w:t>
            </w:r>
          </w:p>
        </w:tc>
      </w:tr>
      <w:tr>
        <w:tc>
          <w:tcPr>
            <w:tcW w:type="dxa" w:w="1440"/>
            <w:noWrap/>
          </w:tcPr>
          <w:p>
            <w:r>
              <w:t>2</w:t>
            </w:r>
          </w:p>
        </w:tc>
        <w:tc>
          <w:tcPr>
            <w:tcW w:type="dxa" w:w="1440"/>
            <w:noWrap/>
          </w:tcPr>
          <w:p>
            <w:r>
              <w:t>Impulsión Ripley</w:t>
            </w:r>
          </w:p>
        </w:tc>
        <w:tc>
          <w:tcPr>
            <w:tcW w:type="dxa" w:w="1440"/>
            <w:noWrap/>
          </w:tcPr>
          <w:p>
            <w:r>
              <w:t>3.390,7</w:t>
            </w:r>
          </w:p>
        </w:tc>
        <w:tc>
          <w:tcPr>
            <w:tcW w:type="dxa" w:w="1440"/>
            <w:noWrap/>
          </w:tcPr>
          <w:p>
            <w:r>
              <w:t>11</w:t>
            </w:r>
          </w:p>
        </w:tc>
        <w:tc>
          <w:tcPr>
            <w:tcW w:type="dxa" w:w="1440"/>
            <w:noWrap/>
          </w:tcPr>
          <w:p>
            <w:pPr>
              <w:jc w:val="left"/>
            </w:pPr>
            <w:r>
              <w:t>229,6 m³</w:t>
            </w:r>
          </w:p>
          <w:p>
            <w:pPr>
              <w:jc w:val="left"/>
            </w:pPr>
            <w:r>
              <w:t>(38 días, 65,5%)</w:t>
            </w:r>
          </w:p>
        </w:tc>
        <w:tc>
          <w:tcPr>
            <w:tcW w:type="dxa" w:w="1440"/>
            <w:noWrap/>
          </w:tcPr>
          <w:p>
            <w:pPr>
              <w:jc w:val="left"/>
            </w:pPr>
            <w:r>
              <w:t>0,0 m³</w:t>
            </w:r>
          </w:p>
          <w:p>
            <w:pPr>
              <w:jc w:val="left"/>
            </w:pPr>
            <w:r>
              <w:t>(0,0%)</w:t>
            </w:r>
          </w:p>
        </w:tc>
      </w:tr>
      <w:tr>
        <w:tc>
          <w:tcPr>
            <w:tcW w:type="dxa" w:w="1440"/>
            <w:noWrap/>
          </w:tcPr>
          <w:p>
            <w:r>
              <w:t>3</w:t>
            </w:r>
          </w:p>
        </w:tc>
        <w:tc>
          <w:tcPr>
            <w:tcW w:type="dxa" w:w="1440"/>
            <w:noWrap/>
          </w:tcPr>
          <w:p>
            <w:r>
              <w:t>Placa Bancaria</w:t>
            </w:r>
          </w:p>
        </w:tc>
        <w:tc>
          <w:tcPr>
            <w:tcW w:type="dxa" w:w="1440"/>
            <w:noWrap/>
          </w:tcPr>
          <w:p>
            <w:r>
              <w:t>2.577,1</w:t>
            </w:r>
          </w:p>
        </w:tc>
        <w:tc>
          <w:tcPr>
            <w:tcW w:type="dxa" w:w="1440"/>
            <w:noWrap/>
          </w:tcPr>
          <w:p>
            <w:r>
              <w:t>17</w:t>
            </w:r>
          </w:p>
        </w:tc>
        <w:tc>
          <w:tcPr>
            <w:tcW w:type="dxa" w:w="1440"/>
            <w:noWrap/>
          </w:tcPr>
          <w:p>
            <w:pPr>
              <w:jc w:val="left"/>
            </w:pPr>
            <w:r>
              <w:t>90,9 m³</w:t>
            </w:r>
          </w:p>
          <w:p>
            <w:pPr>
              <w:jc w:val="left"/>
            </w:pPr>
            <w:r>
              <w:t>(18 días, 31%)</w:t>
            </w:r>
          </w:p>
        </w:tc>
        <w:tc>
          <w:tcPr>
            <w:tcW w:type="dxa" w:w="1440"/>
            <w:noWrap/>
          </w:tcPr>
          <w:p>
            <w:pPr>
              <w:jc w:val="left"/>
            </w:pPr>
            <w:r>
              <w:t>0,0 m³</w:t>
            </w:r>
          </w:p>
          <w:p>
            <w:pPr>
              <w:jc w:val="left"/>
            </w:pPr>
            <w:r>
              <w:t>(0,0%)</w:t>
            </w:r>
          </w:p>
        </w:tc>
      </w:tr>
      <w:tr>
        <w:tc>
          <w:tcPr>
            <w:tcW w:type="dxa" w:w="1440"/>
            <w:noWrap/>
          </w:tcPr>
          <w:p>
            <w:r>
              <w:t>4</w:t>
            </w:r>
          </w:p>
        </w:tc>
        <w:tc>
          <w:tcPr>
            <w:tcW w:type="dxa" w:w="1440"/>
            <w:noWrap/>
          </w:tcPr>
          <w:p>
            <w:r>
              <w:t>Matriz Pasillo Tecnico Boulevard</w:t>
            </w:r>
          </w:p>
        </w:tc>
        <w:tc>
          <w:tcPr>
            <w:tcW w:type="dxa" w:w="1440"/>
            <w:noWrap/>
          </w:tcPr>
          <w:p>
            <w:r>
              <w:t>60,8</w:t>
            </w:r>
          </w:p>
        </w:tc>
        <w:tc>
          <w:tcPr>
            <w:tcW w:type="dxa" w:w="1440"/>
            <w:noWrap/>
          </w:tcPr>
          <w:p>
            <w:r>
              <w:t>28</w:t>
            </w:r>
          </w:p>
        </w:tc>
        <w:tc>
          <w:tcPr>
            <w:tcW w:type="dxa" w:w="1440"/>
            <w:noWrap/>
          </w:tcPr>
          <w:p>
            <w:pPr>
              <w:jc w:val="left"/>
            </w:pPr>
            <w:r>
              <w:t>14,8 m³</w:t>
            </w:r>
          </w:p>
          <w:p>
            <w:pPr>
              <w:jc w:val="left"/>
            </w:pPr>
            <w:r>
              <w:t>(2 días, 3,4%)</w:t>
            </w:r>
          </w:p>
        </w:tc>
        <w:tc>
          <w:tcPr>
            <w:tcW w:type="dxa" w:w="1440"/>
            <w:noWrap/>
          </w:tcPr>
          <w:p>
            <w:pPr>
              <w:jc w:val="left"/>
            </w:pPr>
            <w:r>
              <w:t>0,0 m³</w:t>
            </w:r>
          </w:p>
          <w:p>
            <w:pPr>
              <w:jc w:val="left"/>
            </w:pPr>
            <w:r>
              <w:t>(0,0%)</w:t>
            </w:r>
          </w:p>
        </w:tc>
      </w:tr>
      <w:tr>
        <w:tc>
          <w:tcPr>
            <w:tcW w:type="dxa" w:w="1440"/>
            <w:noWrap/>
          </w:tcPr>
          <w:p>
            <w:r>
              <w:t>5</w:t>
            </w:r>
          </w:p>
        </w:tc>
        <w:tc>
          <w:tcPr>
            <w:tcW w:type="dxa" w:w="1440"/>
            <w:noWrap/>
          </w:tcPr>
          <w:p>
            <w:r>
              <w:t>Salida de emergencia pasillo 1 ARROW</w:t>
            </w:r>
          </w:p>
        </w:tc>
        <w:tc>
          <w:tcPr>
            <w:tcW w:type="dxa" w:w="1440"/>
            <w:noWrap/>
          </w:tcPr>
          <w:p>
            <w:r>
              <w:t>2,5</w:t>
            </w:r>
          </w:p>
        </w:tc>
        <w:tc>
          <w:tcPr>
            <w:tcW w:type="dxa" w:w="1440"/>
            <w:noWrap/>
          </w:tcPr>
          <w:p>
            <w:r>
              <w:t>15</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13.853,5</w:t>
            </w:r>
          </w:p>
        </w:tc>
        <w:tc>
          <w:tcPr>
            <w:tcW w:type="dxa" w:w="1440"/>
            <w:noWrap/>
            <w:shd w:val="clear" w:fill="FFE6E6"/>
          </w:tcPr>
          <w:p>
            <w:pPr>
              <w:jc w:val="left"/>
            </w:pPr>
            <w:r>
              <w:rPr>
                <w:b/>
                <w:color w:val="FF0000"/>
              </w:rPr>
              <w:t>81</w:t>
            </w:r>
          </w:p>
        </w:tc>
        <w:tc>
          <w:tcPr>
            <w:tcW w:type="dxa" w:w="1440"/>
            <w:noWrap/>
            <w:shd w:val="clear" w:fill="FFE6E6"/>
          </w:tcPr>
          <w:p>
            <w:pPr>
              <w:jc w:val="left"/>
            </w:pPr>
            <w:r>
              <w:rPr>
                <w:b/>
                <w:color w:val="FF0000"/>
              </w:rPr>
              <w:t>1.724,2 m³</w:t>
            </w:r>
          </w:p>
        </w:tc>
        <w:tc>
          <w:tcPr>
            <w:tcW w:type="dxa" w:w="1440"/>
            <w:noWrap/>
            <w:shd w:val="clear" w:fill="FFE6E6"/>
          </w:tcPr>
          <w:p>
            <w:pPr>
              <w:jc w:val="left"/>
            </w:pPr>
            <w:r>
              <w:rPr>
                <w:b/>
                <w:color w:val="FF0000"/>
              </w:rPr>
              <w:t>0 m³</w:t>
            </w:r>
          </w:p>
        </w:tc>
      </w:tr>
    </w:tbl>
    <w:p/>
    <w:p>
      <w:pPr>
        <w:keepNext/>
        <w:widowControl/>
        <w:spacing w:after="60"/>
        <w:jc w:val="center"/>
      </w:pPr>
      <w:r>
        <w:drawing>
          <wp:inline xmlns:a="http://schemas.openxmlformats.org/drawingml/2006/main" xmlns:pic="http://schemas.openxmlformats.org/drawingml/2006/picture">
            <wp:extent cx="5486400" cy="3405831"/>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05831"/>
                    </a:xfrm>
                    <a:prstGeom prst="rect"/>
                  </pic:spPr>
                </pic:pic>
              </a:graphicData>
            </a:graphic>
          </wp:inline>
        </w:drawing>
      </w:r>
    </w:p>
    <w:p/>
    <w:p>
      <w:pPr>
        <w:keepNext/>
        <w:widowControl/>
        <w:spacing w:after="60"/>
      </w:pPr>
      <w:r>
        <w:rPr>
          <w:b/>
          <w:color w:val="003366"/>
        </w:rPr>
        <w:t>DÍA CON MAYOR CONSUMO NOCTURNO - PLACA BANCARIA (18-02-26):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08.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Placa Bancaria registró 17 alerta(s) durante 17 día(s) del periodo analizado. La periodicidad de las alertas es intermitente (más del 20% de los días).</w:t>
      </w:r>
    </w:p>
    <w:p/>
    <w:p>
      <w:pPr>
        <w:keepNext/>
        <w:widowControl/>
        <w:spacing w:after="60"/>
      </w:pPr>
      <w:r>
        <w:rPr>
          <w:b/>
          <w:color w:val="003366"/>
        </w:rPr>
        <w:t>DÍA CON MAYOR CONSUMO NOCTURNO - IMPULSIÓN FALABELLA (22-02-26):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09.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Impulsión Falabella registró 10 alerta(s) durante 9 día(s) del periodo analizado. La periodicidad de las alertas es puntual (menos del 20% de los días).</w:t>
      </w:r>
    </w:p>
    <w:p/>
    <w:p>
      <w:pPr>
        <w:keepNext/>
        <w:widowControl/>
        <w:spacing w:after="60"/>
      </w:pPr>
      <w:r>
        <w:rPr>
          <w:b/>
          <w:color w:val="003366"/>
        </w:rPr>
        <w:t>DÍA CON MAYOR CONSUMO NOCTURNO - IMPULSIÓN RIPLEY (09-03-26):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5_10.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Impulsión Ripley registró 11 alerta(s) durante 10 día(s) del periodo analizado. La periodicidad de las alertas es puntual (menos del 20% de los días).</w:t>
      </w:r>
    </w:p>
    <w:p/>
    <w:p>
      <w:pPr>
        <w:keepNext/>
        <w:widowControl/>
        <w:spacing w:after="60"/>
      </w:pPr>
      <w:r>
        <w:rPr>
          <w:b/>
          <w:color w:val="003366"/>
        </w:rPr>
        <w:t>DÍA CON MAYOR CONSUMO NOCTURNO - MATRIZ PASILLO TECNICO BOULEVARD (05-03-26):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5_32.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Matriz Pasillo Tecnico Boulevard registró 28 alerta(s) durante 24 día(s) del periodo analizado. La periodicidad de las alertas es intermitente (más del 20% de los días).</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Este reporte sintetiza los principales hallazgos de consumo y fugas. Se recomienda revisar los días con mayor consumo y atender las alertas registradas.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