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Quilicura</w:t>
      </w:r>
    </w:p>
    <w:p>
      <w:pPr>
        <w:jc w:val="center"/>
      </w:pPr>
      <w:r>
        <w:t>MONITOREO WES</w:t>
        <w:br/>
        <w:t>Análisis consolidado de 1 puntos de monitoreo</w:t>
        <w:br/>
        <w:t>Rango: 01-02-26 - 28-02-26</w:t>
        <w:br/>
        <w:t>Generado: 02-03-26 15:11</w:t>
      </w:r>
    </w:p>
    <w:p>
      <w:pPr>
        <w:pStyle w:val="Heading1"/>
        <w:keepNext/>
        <w:widowControl/>
        <w:spacing w:after="60"/>
      </w:pPr>
      <w:r>
        <w:rPr>
          <w:b/>
          <w:color w:val="003366"/>
        </w:rPr>
        <w:t>RESUMEN EJECUTIVO AGREGADO</w:t>
      </w:r>
    </w:p>
    <w:p>
      <w:r>
        <w:t>Puntos de monitoreo analizados: 1.</w:t>
        <w:br/>
      </w:r>
      <w:r>
        <w:t>Consumo total agregado: 2.505,7 m³.</w:t>
        <w:br/>
      </w:r>
      <w:r>
        <w:t>Consumo promedio por punto: 2.505,7 m³.</w:t>
        <w:br/>
      </w:r>
      <w:r>
        <w:t>Total de alertas registradas: 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0"/>
        <w:gridCol w:w="1042"/>
        <w:gridCol w:w="1172"/>
        <w:gridCol w:w="1042"/>
        <w:gridCol w:w="1562"/>
        <w:gridCol w:w="156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Principal</w:t>
            </w:r>
          </w:p>
        </w:tc>
        <w:tc>
          <w:tcPr>
            <w:tcW w:type="dxa" w:w="1440"/>
            <w:noWrap/>
          </w:tcPr>
          <w:p>
            <w:r>
              <w:t>2.505,7</w:t>
            </w:r>
          </w:p>
        </w:tc>
        <w:tc>
          <w:tcPr>
            <w:tcW w:type="dxa" w:w="1440"/>
            <w:noWrap/>
          </w:tcPr>
          <w:p>
            <w:r>
              <w:t>7</w:t>
            </w:r>
          </w:p>
        </w:tc>
        <w:tc>
          <w:tcPr>
            <w:tcW w:type="dxa" w:w="1440"/>
            <w:noWrap/>
          </w:tcPr>
          <w:p>
            <w:pPr>
              <w:jc w:val="left"/>
            </w:pPr>
            <w:r>
              <w:t>291,5 m³</w:t>
            </w:r>
          </w:p>
          <w:p>
            <w:pPr>
              <w:jc w:val="left"/>
            </w:pPr>
            <w:r>
              <w:t>(28 días, 100%)</w:t>
            </w:r>
          </w:p>
        </w:tc>
        <w:tc>
          <w:tcPr>
            <w:tcW w:type="dxa" w:w="1440"/>
            <w:noWrap/>
          </w:tcPr>
          <w:p>
            <w:pPr>
              <w:jc w:val="left"/>
            </w:pPr>
            <w:r>
              <w:t>1.166,2 m³</w:t>
            </w:r>
          </w:p>
          <w:p>
            <w:pPr>
              <w:jc w:val="left"/>
            </w:pPr>
            <w:r>
              <w:t>(46,5%)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2.505,7</w:t>
            </w:r>
          </w:p>
        </w:tc>
        <w:tc>
          <w:tcPr>
            <w:tcW w:type="dxa" w:w="1440"/>
            <w:noWrap/>
            <w:shd w:val="clear" w:fill="FFE6E6"/>
          </w:tcPr>
          <w:p>
            <w:pPr>
              <w:jc w:val="left"/>
            </w:pPr>
            <w:r>
              <w:rPr>
                <w:b/>
                <w:color w:val="FF0000"/>
              </w:rPr>
              <w:t>7</w:t>
            </w:r>
          </w:p>
        </w:tc>
        <w:tc>
          <w:tcPr>
            <w:tcW w:type="dxa" w:w="1440"/>
            <w:noWrap/>
            <w:shd w:val="clear" w:fill="FFE6E6"/>
          </w:tcPr>
          <w:p>
            <w:pPr>
              <w:jc w:val="left"/>
            </w:pPr>
            <w:r>
              <w:rPr>
                <w:b/>
                <w:color w:val="FF0000"/>
              </w:rPr>
              <w:t>291,5 m³</w:t>
            </w:r>
          </w:p>
        </w:tc>
        <w:tc>
          <w:tcPr>
            <w:tcW w:type="dxa" w:w="1440"/>
            <w:noWrap/>
            <w:shd w:val="clear" w:fill="FFE6E6"/>
          </w:tcPr>
          <w:p>
            <w:pPr>
              <w:jc w:val="left"/>
            </w:pPr>
            <w:r>
              <w:rPr>
                <w:b/>
                <w:color w:val="FF0000"/>
              </w:rPr>
              <w:t>1.166,2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PRINCIPAL (22-02-26):</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max_nocturnal_000025_13.png"/>
                    <pic:cNvPicPr/>
                  </pic:nvPicPr>
                  <pic:blipFill>
                    <a:blip r:embed="rId12"/>
                    <a:stretch>
                      <a:fillRect/>
                    </a:stretch>
                  </pic:blipFill>
                  <pic:spPr>
                    <a:xfrm>
                      <a:off x="0" y="0"/>
                      <a:ext cx="5486400" cy="2704355"/>
                    </a:xfrm>
                    <a:prstGeom prst="rect"/>
                  </pic:spPr>
                </pic:pic>
              </a:graphicData>
            </a:graphic>
          </wp:inline>
        </w:drawing>
      </w:r>
    </w:p>
    <w:p>
      <w:pPr>
        <w:jc w:val="both"/>
      </w:pPr>
      <w:r>
        <w:rPr>
          <w:color w:val="000000"/>
        </w:rPr>
        <w:t>El nodo Matriz Principal registró 7 alerta(s) durante 6 día(s) del periodo analizado. La periodicidad de las alertas es intermitente (más del 20% de los días). Se identificó una proyección de filtración de 1.166,2 m³ ($1.454.202),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Matriz Principal, con un volumen proyectado de 1.166,2 m³ (46,5%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