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Quilicura</w:t>
      </w:r>
    </w:p>
    <w:p>
      <w:pPr>
        <w:jc w:val="center"/>
      </w:pPr>
      <w:r>
        <w:t>MONITOREO WES</w:t>
        <w:br/>
        <w:t>Análisis consolidado de 2 puntos de monitoreo</w:t>
        <w:br/>
        <w:t>Rango: 02-02-26 - 31-03-26</w:t>
        <w:br/>
        <w:t>Generado: 31-03-26 21:35</w:t>
      </w:r>
    </w:p>
    <w:p>
      <w:pPr>
        <w:pStyle w:val="Heading1"/>
        <w:keepNext/>
        <w:widowControl/>
        <w:spacing w:after="60"/>
      </w:pPr>
      <w:r>
        <w:rPr>
          <w:b/>
          <w:color w:val="003366"/>
        </w:rPr>
        <w:t>RESUMEN EJECUTIVO AGREGADO</w:t>
      </w:r>
    </w:p>
    <w:p>
      <w:r>
        <w:t>Puntos de monitoreo analizados: 2.</w:t>
        <w:br/>
      </w:r>
      <w:r>
        <w:t>Consumo total agregado: 5.507 m³.</w:t>
        <w:br/>
      </w:r>
      <w:r>
        <w:t>Consumo promedio por punto: 2.753,5 m³.</w:t>
        <w:br/>
      </w:r>
      <w:r>
        <w:t>Total de alertas registradas: 17.</w:t>
        <w:br/>
      </w:r>
      <w:r>
        <w:t>Promedio de alerta agregado: 1,6 m³/h.</w:t>
        <w:br/>
      </w:r>
      <w:r>
        <w:t>Proyección diaria de consumo nocturno agregada: 37,7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Matriz Principal, con un total de 5.305,4 m³ durante el periodo analizado. Este valor representa un 92,7% por encima del promedio (2.753,5 m³ por punto), indicando una demanda significativamente superior a la media. Por otro lado, el punto con menor consumo es Alimentación Baños, con un total de 201,6 m³. Este valor representa un 92,7% por debajo del promedio, mostrando una demanda significativamente inferior. La diferencia entre el punto de mayor y menor consumo es considerable, siendo el consumo máximo aproximadamente 26,3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149"/>
        <w:gridCol w:w="1149"/>
        <w:gridCol w:w="1021"/>
        <w:gridCol w:w="1531"/>
        <w:gridCol w:w="1531"/>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Principal</w:t>
            </w:r>
          </w:p>
        </w:tc>
        <w:tc>
          <w:tcPr>
            <w:tcW w:type="dxa" w:w="1440"/>
            <w:noWrap/>
          </w:tcPr>
          <w:p>
            <w:r>
              <w:t>5.305,4</w:t>
            </w:r>
          </w:p>
        </w:tc>
        <w:tc>
          <w:tcPr>
            <w:tcW w:type="dxa" w:w="1440"/>
            <w:noWrap/>
          </w:tcPr>
          <w:p>
            <w:r>
              <w:t>15</w:t>
            </w:r>
          </w:p>
        </w:tc>
        <w:tc>
          <w:tcPr>
            <w:tcW w:type="dxa" w:w="1440"/>
            <w:noWrap/>
          </w:tcPr>
          <w:p>
            <w:pPr>
              <w:jc w:val="left"/>
            </w:pPr>
            <w:r>
              <w:t>631,1 m³</w:t>
            </w:r>
          </w:p>
          <w:p>
            <w:pPr>
              <w:jc w:val="left"/>
            </w:pPr>
            <w:r>
              <w:t>(58 días, 100%)</w:t>
            </w:r>
          </w:p>
        </w:tc>
        <w:tc>
          <w:tcPr>
            <w:tcW w:type="dxa" w:w="1440"/>
            <w:noWrap/>
          </w:tcPr>
          <w:p>
            <w:pPr>
              <w:jc w:val="left"/>
            </w:pPr>
            <w:r>
              <w:t>2.524,4 m³</w:t>
            </w:r>
          </w:p>
          <w:p>
            <w:pPr>
              <w:jc w:val="left"/>
            </w:pPr>
            <w:r>
              <w:t>(47,6%)</w:t>
            </w:r>
          </w:p>
        </w:tc>
      </w:tr>
      <w:tr>
        <w:tc>
          <w:tcPr>
            <w:tcW w:type="dxa" w:w="1440"/>
            <w:noWrap/>
          </w:tcPr>
          <w:p>
            <w:r>
              <w:t>2</w:t>
            </w:r>
          </w:p>
        </w:tc>
        <w:tc>
          <w:tcPr>
            <w:tcW w:type="dxa" w:w="1440"/>
            <w:noWrap/>
          </w:tcPr>
          <w:p>
            <w:r>
              <w:t>Alimentación Baños</w:t>
            </w:r>
          </w:p>
        </w:tc>
        <w:tc>
          <w:tcPr>
            <w:tcW w:type="dxa" w:w="1440"/>
            <w:noWrap/>
          </w:tcPr>
          <w:p>
            <w:r>
              <w:t>201,6</w:t>
            </w:r>
          </w:p>
        </w:tc>
        <w:tc>
          <w:tcPr>
            <w:tcW w:type="dxa" w:w="1440"/>
            <w:noWrap/>
          </w:tcPr>
          <w:p>
            <w:r>
              <w:t>2</w:t>
            </w:r>
          </w:p>
        </w:tc>
        <w:tc>
          <w:tcPr>
            <w:tcW w:type="dxa" w:w="1440"/>
            <w:noWrap/>
          </w:tcPr>
          <w:p>
            <w:pPr>
              <w:jc w:val="left"/>
            </w:pPr>
            <w:r>
              <w:t>0,1 m³</w:t>
            </w:r>
          </w:p>
          <w:p>
            <w:pPr>
              <w:jc w:val="left"/>
            </w:pPr>
            <w:r>
              <w:t>(2 días, 3,4%)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5.507</w:t>
            </w:r>
          </w:p>
        </w:tc>
        <w:tc>
          <w:tcPr>
            <w:tcW w:type="dxa" w:w="1440"/>
            <w:noWrap/>
            <w:shd w:val="clear" w:fill="FFE6E6"/>
          </w:tcPr>
          <w:p>
            <w:pPr>
              <w:jc w:val="left"/>
            </w:pPr>
            <w:r>
              <w:rPr>
                <w:b/>
                <w:color w:val="FF0000"/>
              </w:rPr>
              <w:t>17</w:t>
            </w:r>
          </w:p>
        </w:tc>
        <w:tc>
          <w:tcPr>
            <w:tcW w:type="dxa" w:w="1440"/>
            <w:noWrap/>
            <w:shd w:val="clear" w:fill="FFE6E6"/>
          </w:tcPr>
          <w:p>
            <w:pPr>
              <w:jc w:val="left"/>
            </w:pPr>
            <w:r>
              <w:rPr>
                <w:b/>
                <w:color w:val="FF0000"/>
              </w:rPr>
              <w:t>631,2 m³</w:t>
            </w:r>
          </w:p>
        </w:tc>
        <w:tc>
          <w:tcPr>
            <w:tcW w:type="dxa" w:w="1440"/>
            <w:noWrap/>
            <w:shd w:val="clear" w:fill="FFE6E6"/>
          </w:tcPr>
          <w:p>
            <w:pPr>
              <w:jc w:val="left"/>
            </w:pPr>
            <w:r>
              <w:rPr>
                <w:b/>
                <w:color w:val="FF0000"/>
              </w:rPr>
              <w:t>2.524,4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MATRIZ PRINCIPAL (22-02-26):</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max_nocturnal_000025_13.png"/>
                    <pic:cNvPicPr/>
                  </pic:nvPicPr>
                  <pic:blipFill>
                    <a:blip r:embed="rId12"/>
                    <a:stretch>
                      <a:fillRect/>
                    </a:stretch>
                  </pic:blipFill>
                  <pic:spPr>
                    <a:xfrm>
                      <a:off x="0" y="0"/>
                      <a:ext cx="5486400" cy="2704355"/>
                    </a:xfrm>
                    <a:prstGeom prst="rect"/>
                  </pic:spPr>
                </pic:pic>
              </a:graphicData>
            </a:graphic>
          </wp:inline>
        </w:drawing>
      </w:r>
    </w:p>
    <w:p>
      <w:pPr>
        <w:jc w:val="both"/>
      </w:pPr>
      <w:r>
        <w:rPr>
          <w:color w:val="000000"/>
        </w:rPr>
        <w:t>El nodo Matriz Principal registró 15 alerta(s) durante 13 día(s) del periodo analizado. La periodicidad de las alertas es intermitente (más del 20% de los días). Se identificó una proyección de filtración de 2.524,4 m³ ($3.147.877), lo que indica un patrón de fuga constante durante el periodo.</w:t>
      </w:r>
    </w:p>
    <w:p/>
    <w:p>
      <w:pPr>
        <w:keepNext/>
        <w:widowControl/>
        <w:spacing w:after="60"/>
      </w:pPr>
      <w:r>
        <w:rPr>
          <w:b/>
          <w:color w:val="003366"/>
        </w:rPr>
        <w:t>DÍA CON MAYOR CONSUMO NOCTURNO - ALIMENTACIÓN BAÑOS (28-03-26):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3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Alimentación Baños registró 2 alerta(s) durante 2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Matriz Principal, con un volumen proyectado de 2.524,4 m³ (47,6%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