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Parque Arauco Matriz Principal</w:t>
      </w:r>
    </w:p>
    <w:p>
      <w:pPr>
        <w:jc w:val="center"/>
      </w:pPr>
      <w:r>
        <w:t>MONITOREO WES</w:t>
        <w:br/>
        <w:t>Matriz Principal</w:t>
        <w:br/>
        <w:t>Rango: 01-02-26 - 28-02-26</w:t>
        <w:br/>
        <w:t>Generado: 02-03-26 14:51</w:t>
      </w:r>
    </w:p>
    <w:p>
      <w:pPr>
        <w:pStyle w:val="Heading1"/>
        <w:keepNext/>
        <w:widowControl/>
        <w:spacing w:after="60"/>
      </w:pPr>
      <w:r>
        <w:rPr>
          <w:b/>
          <w:color w:val="003366"/>
        </w:rPr>
        <w:t>RESUMEN EJECUTIVO</w:t>
      </w:r>
    </w:p>
    <w:p>
      <w:r>
        <w:t>Consumo total: 2.505,7 m³.</w:t>
        <w:br/>
      </w:r>
      <w:r>
        <w:t>Promedio diario: 89,5 m³.</w:t>
        <w:br/>
      </w:r>
      <w:r>
        <w:t>Número de días del periodo del reporte: 28.</w:t>
        <w:br/>
      </w:r>
      <w:r>
        <w:t>Día pico: 17-02-26 (115,9 m³).</w:t>
        <w:br/>
      </w:r>
      <w:r>
        <w:t>Número de alertas de consumo nocturno: 7.</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13.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17-02-26 con 115,9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1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1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13.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17-02-26: Aumento del 45,5% (de 79,7 m³ a 115,9 m³). • 23-02-26: Aumento del 33% (de 74,3 m³ a 98,9 m³). El equipo de monitoreo WES alertó este evento.</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2.505,7</w:t>
            </w:r>
          </w:p>
        </w:tc>
      </w:tr>
      <w:tr>
        <w:tc>
          <w:tcPr>
            <w:tcW w:type="dxa" w:w="4320"/>
            <w:noWrap/>
          </w:tcPr>
          <w:p>
            <w:r>
              <w:t>Promedio diario (m³)</w:t>
            </w:r>
          </w:p>
        </w:tc>
        <w:tc>
          <w:tcPr>
            <w:tcW w:type="dxa" w:w="4320"/>
            <w:noWrap/>
          </w:tcPr>
          <w:p>
            <w:r>
              <w:t>89,5</w:t>
            </w:r>
          </w:p>
        </w:tc>
      </w:tr>
      <w:tr>
        <w:tc>
          <w:tcPr>
            <w:tcW w:type="dxa" w:w="4320"/>
            <w:noWrap/>
          </w:tcPr>
          <w:p>
            <w:r>
              <w:t>Promedio mensual (m³)</w:t>
            </w:r>
          </w:p>
        </w:tc>
        <w:tc>
          <w:tcPr>
            <w:tcW w:type="dxa" w:w="4320"/>
            <w:noWrap/>
          </w:tcPr>
          <w:p>
            <w:r>
              <w:t>2.684,7</w:t>
            </w:r>
          </w:p>
        </w:tc>
      </w:tr>
      <w:tr>
        <w:tc>
          <w:tcPr>
            <w:tcW w:type="dxa" w:w="4320"/>
            <w:noWrap/>
          </w:tcPr>
          <w:p>
            <w:r>
              <w:t>Máximo diario</w:t>
            </w:r>
          </w:p>
        </w:tc>
        <w:tc>
          <w:tcPr>
            <w:tcW w:type="dxa" w:w="4320"/>
            <w:noWrap/>
          </w:tcPr>
          <w:p>
            <w:r>
              <w:t>115,9 m³ (17-02-26)</w:t>
            </w:r>
          </w:p>
        </w:tc>
      </w:tr>
      <w:tr>
        <w:tc>
          <w:tcPr>
            <w:tcW w:type="dxa" w:w="4320"/>
            <w:noWrap/>
          </w:tcPr>
          <w:p>
            <w:r>
              <w:t>Mínimo diario</w:t>
            </w:r>
          </w:p>
        </w:tc>
        <w:tc>
          <w:tcPr>
            <w:tcW w:type="dxa" w:w="4320"/>
            <w:noWrap/>
          </w:tcPr>
          <w:p>
            <w:r>
              <w:t>65,2 m³ (15-02-26)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291,5</w:t>
            </w:r>
          </w:p>
        </w:tc>
      </w:tr>
      <w:tr>
        <w:tc>
          <w:tcPr>
            <w:tcW w:type="dxa" w:w="4320"/>
            <w:noWrap/>
          </w:tcPr>
          <w:p>
            <w:r>
              <w:t>Consumo diurno efectivo (m³)</w:t>
            </w:r>
          </w:p>
        </w:tc>
        <w:tc>
          <w:tcPr>
            <w:tcW w:type="dxa" w:w="4320"/>
            <w:noWrap/>
          </w:tcPr>
          <w:p>
            <w:r>
              <w:t>2.214,2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1175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1175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Matriz Principal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13.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(22-02-26):</w:t>
      </w:r>
    </w:p>
    <w:p>
      <w:pPr>
        <w:keepNext/>
        <w:widowControl/>
        <w:spacing w:after="60"/>
        <w:jc w:val="center"/>
      </w:pPr>
      <w:r>
        <w:drawing>
          <wp:inline xmlns:a="http://schemas.openxmlformats.org/drawingml/2006/main" xmlns:pic="http://schemas.openxmlformats.org/drawingml/2006/picture">
            <wp:extent cx="5486400" cy="2704355"/>
            <wp:docPr id="7" name="Picture 7"/>
            <wp:cNvGraphicFramePr>
              <a:graphicFrameLocks noChangeAspect="1"/>
            </wp:cNvGraphicFramePr>
            <a:graphic>
              <a:graphicData uri="http://schemas.openxmlformats.org/drawingml/2006/picture">
                <pic:pic>
                  <pic:nvPicPr>
                    <pic:cNvPr id="0" name="chart_max_nocturnal_day_000025-13.png"/>
                    <pic:cNvPicPr/>
                  </pic:nvPicPr>
                  <pic:blipFill>
                    <a:blip r:embed="rId16"/>
                    <a:stretch>
                      <a:fillRect/>
                    </a:stretch>
                  </pic:blipFill>
                  <pic:spPr>
                    <a:xfrm>
                      <a:off x="0" y="0"/>
                      <a:ext cx="5486400" cy="2704355"/>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1,74</w:t>
            </w:r>
          </w:p>
        </w:tc>
      </w:tr>
      <w:tr>
        <w:tc>
          <w:tcPr>
            <w:tcW w:type="dxa" w:w="4320"/>
            <w:noWrap/>
          </w:tcPr>
          <w:p>
            <w:r>
              <w:t>Proyección día filtración (m³/día)</w:t>
            </w:r>
          </w:p>
        </w:tc>
        <w:tc>
          <w:tcPr>
            <w:tcW w:type="dxa" w:w="4320"/>
            <w:noWrap/>
          </w:tcPr>
          <w:p>
            <w:r>
              <w:t>41,6</w:t>
            </w:r>
          </w:p>
        </w:tc>
      </w:tr>
      <w:tr>
        <w:tc>
          <w:tcPr>
            <w:tcW w:type="dxa" w:w="4320"/>
            <w:noWrap/>
          </w:tcPr>
          <w:p>
            <w:r>
              <w:t>Proyección filtración del periodo (m³)</w:t>
            </w:r>
          </w:p>
        </w:tc>
        <w:tc>
          <w:tcPr>
            <w:tcW w:type="dxa" w:w="4320"/>
            <w:noWrap/>
          </w:tcPr>
          <w:p>
            <w:r>
              <w:t>1.166,2</w:t>
            </w:r>
          </w:p>
        </w:tc>
      </w:tr>
      <w:tr>
        <w:tc>
          <w:tcPr>
            <w:tcW w:type="dxa" w:w="4320"/>
            <w:noWrap/>
          </w:tcPr>
          <w:p>
            <w:r>
              <w:t>Consumo efectivo del periodo (m³)</w:t>
            </w:r>
          </w:p>
        </w:tc>
        <w:tc>
          <w:tcPr>
            <w:tcW w:type="dxa" w:w="4320"/>
            <w:noWrap/>
          </w:tcPr>
          <w:p>
            <w:r>
              <w:t>1.339,6</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