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Matriz Principal</w:t>
      </w:r>
    </w:p>
    <w:p>
      <w:pPr>
        <w:jc w:val="center"/>
      </w:pPr>
      <w:r>
        <w:t>MONITOREO WES</w:t>
        <w:br/>
        <w:t>Matriz Principal</w:t>
        <w:br/>
        <w:t>Rango: 01-03-26 - 16-03-26</w:t>
        <w:br/>
        <w:t>Generado: 16-03-26 19:47</w:t>
      </w:r>
    </w:p>
    <w:p>
      <w:pPr>
        <w:pStyle w:val="Heading1"/>
        <w:keepNext/>
        <w:widowControl/>
        <w:spacing w:after="60"/>
      </w:pPr>
      <w:r>
        <w:rPr>
          <w:b/>
          <w:color w:val="003366"/>
        </w:rPr>
        <w:t>RESUMEN EJECUTIVO</w:t>
      </w:r>
    </w:p>
    <w:p>
      <w:r>
        <w:t>Consumo total: 1.462,7 m³.</w:t>
        <w:br/>
      </w:r>
      <w:r>
        <w:t>Promedio diario: 91,4 m³.</w:t>
        <w:br/>
      </w:r>
      <w:r>
        <w:t>Número de días del periodo del reporte: 16.</w:t>
        <w:br/>
      </w:r>
      <w:r>
        <w:t>Día pico: 03-03-26 (117,2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16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03-03-26 con 117,2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2 de marzo de 2026 hasta el domingo 15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hourly_min_000025-13.png"/>
                    <pic:cNvPicPr/>
                  </pic:nvPicPr>
                  <pic:blipFill>
                    <a:blip r:embed="rId13"/>
                    <a:stretch>
                      <a:fillRect/>
                    </a:stretch>
                  </pic:blipFill>
                  <pic:spPr>
                    <a:xfrm>
                      <a:off x="0" y="0"/>
                      <a:ext cx="5486400" cy="2704355"/>
                    </a:xfrm>
                    <a:prstGeom prst="rect"/>
                  </pic:spPr>
                </pic:pic>
              </a:graphicData>
            </a:graphic>
          </wp:inline>
        </w:drawing>
      </w:r>
    </w:p>
    <w:p>
      <w:pPr>
        <w:spacing w:after="60"/>
      </w:pPr>
    </w:p>
    <w:p>
      <w:pPr>
        <w:jc w:val="both"/>
      </w:pPr>
      <w:r>
        <w:rPr>
          <w:color w:val="000000"/>
        </w:rPr>
        <w:t>Se detectaron alzas significativas de consumo en los siguientes días: • 09-03-26: Aumento del 56% (de 72,9 m³ a 113,8 m³). • 02-03-26: Aumento del 45,2% (de 71,4 m³ a 103,7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1.462,7</w:t>
            </w:r>
          </w:p>
        </w:tc>
      </w:tr>
      <w:tr>
        <w:tc>
          <w:tcPr>
            <w:tcW w:type="dxa" w:w="4320"/>
            <w:noWrap/>
          </w:tcPr>
          <w:p>
            <w:r>
              <w:t>Promedio diario (m³)</w:t>
            </w:r>
          </w:p>
        </w:tc>
        <w:tc>
          <w:tcPr>
            <w:tcW w:type="dxa" w:w="4320"/>
            <w:noWrap/>
          </w:tcPr>
          <w:p>
            <w:r>
              <w:t>91,4</w:t>
            </w:r>
          </w:p>
        </w:tc>
      </w:tr>
      <w:tr>
        <w:tc>
          <w:tcPr>
            <w:tcW w:type="dxa" w:w="4320"/>
            <w:noWrap/>
          </w:tcPr>
          <w:p>
            <w:r>
              <w:t>Promedio mensual (m³)</w:t>
            </w:r>
          </w:p>
        </w:tc>
        <w:tc>
          <w:tcPr>
            <w:tcW w:type="dxa" w:w="4320"/>
            <w:noWrap/>
          </w:tcPr>
          <w:p>
            <w:r>
              <w:t>2.742,6</w:t>
            </w:r>
          </w:p>
        </w:tc>
      </w:tr>
      <w:tr>
        <w:tc>
          <w:tcPr>
            <w:tcW w:type="dxa" w:w="4320"/>
            <w:noWrap/>
          </w:tcPr>
          <w:p>
            <w:r>
              <w:t>Máximo diario</w:t>
            </w:r>
          </w:p>
        </w:tc>
        <w:tc>
          <w:tcPr>
            <w:tcW w:type="dxa" w:w="4320"/>
            <w:noWrap/>
          </w:tcPr>
          <w:p>
            <w:r>
              <w:t>117,2 m³ (03-03-26)</w:t>
            </w:r>
          </w:p>
        </w:tc>
      </w:tr>
      <w:tr>
        <w:tc>
          <w:tcPr>
            <w:tcW w:type="dxa" w:w="4320"/>
            <w:noWrap/>
          </w:tcPr>
          <w:p>
            <w:r>
              <w:t>Mínimo diario</w:t>
            </w:r>
          </w:p>
        </w:tc>
        <w:tc>
          <w:tcPr>
            <w:tcW w:type="dxa" w:w="4320"/>
            <w:noWrap/>
          </w:tcPr>
          <w:p>
            <w:r>
              <w:t>58,8 m³ (16-03-26)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16</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174,1</w:t>
            </w:r>
          </w:p>
        </w:tc>
      </w:tr>
      <w:tr>
        <w:tc>
          <w:tcPr>
            <w:tcW w:type="dxa" w:w="4320"/>
            <w:noWrap/>
          </w:tcPr>
          <w:p>
            <w:r>
              <w:t>Consumo diurno efectivo (m³)</w:t>
            </w:r>
          </w:p>
        </w:tc>
        <w:tc>
          <w:tcPr>
            <w:tcW w:type="dxa" w:w="4320"/>
            <w:noWrap/>
          </w:tcPr>
          <w:p>
            <w:r>
              <w:t>1.288,6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0256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0256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5-13.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(16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1,81</w:t>
            </w:r>
          </w:p>
        </w:tc>
      </w:tr>
      <w:tr>
        <w:tc>
          <w:tcPr>
            <w:tcW w:type="dxa" w:w="4320"/>
            <w:noWrap/>
          </w:tcPr>
          <w:p>
            <w:r>
              <w:t>Proyección día filtración (m³/día)</w:t>
            </w:r>
          </w:p>
        </w:tc>
        <w:tc>
          <w:tcPr>
            <w:tcW w:type="dxa" w:w="4320"/>
            <w:noWrap/>
          </w:tcPr>
          <w:p>
            <w:r>
              <w:t>43,5</w:t>
            </w:r>
          </w:p>
        </w:tc>
      </w:tr>
      <w:tr>
        <w:tc>
          <w:tcPr>
            <w:tcW w:type="dxa" w:w="4320"/>
            <w:noWrap/>
          </w:tcPr>
          <w:p>
            <w:r>
              <w:t>Proyección filtración del periodo (m³)</w:t>
            </w:r>
          </w:p>
        </w:tc>
        <w:tc>
          <w:tcPr>
            <w:tcW w:type="dxa" w:w="4320"/>
            <w:noWrap/>
          </w:tcPr>
          <w:p>
            <w:r>
              <w:t>696,2</w:t>
            </w:r>
          </w:p>
        </w:tc>
      </w:tr>
      <w:tr>
        <w:tc>
          <w:tcPr>
            <w:tcW w:type="dxa" w:w="4320"/>
            <w:noWrap/>
          </w:tcPr>
          <w:p>
            <w:r>
              <w:t>Consumo efectivo del periodo (m³)</w:t>
            </w:r>
          </w:p>
        </w:tc>
        <w:tc>
          <w:tcPr>
            <w:tcW w:type="dxa" w:w="4320"/>
            <w:noWrap/>
          </w:tcPr>
          <w:p>
            <w:r>
              <w:t>766,5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