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47DE" w14:textId="77777777" w:rsidR="009215AF" w:rsidRDefault="00000000">
      <w:pPr>
        <w:pStyle w:val="Ttulo"/>
      </w:pPr>
      <w:r>
        <w:rPr>
          <w:sz w:val="48"/>
        </w:rPr>
        <w:t>Reporte Agregado - Renca</w:t>
      </w:r>
    </w:p>
    <w:p w14:paraId="3CDA0A28" w14:textId="77777777" w:rsidR="009215AF" w:rsidRDefault="00000000">
      <w:pPr>
        <w:jc w:val="center"/>
      </w:pPr>
      <w:r>
        <w:t>MONITOREO WES</w:t>
      </w:r>
      <w:r>
        <w:br/>
        <w:t>Análisis consolidado de 3 puntos de monitoreo</w:t>
      </w:r>
      <w:r>
        <w:br/>
        <w:t>Rango: 01-03-26 - 31-03-26</w:t>
      </w:r>
      <w:r>
        <w:br/>
        <w:t>Generado: 31-03-26 19:14</w:t>
      </w:r>
    </w:p>
    <w:p w14:paraId="13C479C6" w14:textId="77777777" w:rsidR="009215AF" w:rsidRDefault="00000000">
      <w:pPr>
        <w:pStyle w:val="Ttulo1"/>
        <w:spacing w:after="60"/>
      </w:pPr>
      <w:r>
        <w:rPr>
          <w:color w:val="003366"/>
        </w:rPr>
        <w:t>RESUMEN EJECUTIVO AGREGADO</w:t>
      </w:r>
    </w:p>
    <w:p w14:paraId="73806137" w14:textId="77777777" w:rsidR="009215AF" w:rsidRDefault="00000000">
      <w:r>
        <w:t>Puntos de monitoreo analizados: 3.</w:t>
      </w:r>
      <w:r>
        <w:br/>
        <w:t>Consumo total agregado: 1.166,8 m³.</w:t>
      </w:r>
      <w:r>
        <w:br/>
        <w:t>Consumo promedio por punto: 388,9 m³.</w:t>
      </w:r>
      <w:r>
        <w:br/>
        <w:t>Total de alertas registradas: 18.</w:t>
      </w:r>
      <w:r>
        <w:br/>
      </w:r>
    </w:p>
    <w:p w14:paraId="1F1E7557" w14:textId="77777777" w:rsidR="009215AF" w:rsidRDefault="00000000">
      <w:pPr>
        <w:pStyle w:val="Ttulo1"/>
        <w:spacing w:after="60"/>
      </w:pPr>
      <w:r>
        <w:rPr>
          <w:color w:val="003366"/>
        </w:rPr>
        <w:t>COMPARACIÓN DE CONSUMO POR PUNTO</w:t>
      </w:r>
    </w:p>
    <w:p w14:paraId="6E8855E8" w14:textId="77777777" w:rsidR="009215AF" w:rsidRDefault="00000000">
      <w:pPr>
        <w:jc w:val="both"/>
      </w:pPr>
      <w:r>
        <w:rPr>
          <w:color w:val="000000"/>
        </w:rPr>
        <w:t>Consumo total registrado en cada punto de monitoreo durante el periodo analizado.</w:t>
      </w:r>
    </w:p>
    <w:p w14:paraId="7F54942C" w14:textId="77777777" w:rsidR="009215AF" w:rsidRDefault="00000000">
      <w:pPr>
        <w:keepNext/>
        <w:spacing w:after="60"/>
        <w:jc w:val="center"/>
      </w:pPr>
      <w:r>
        <w:rPr>
          <w:noProof/>
        </w:rPr>
        <w:drawing>
          <wp:inline distT="0" distB="0" distL="0" distR="0" wp14:anchorId="2CA6EE23" wp14:editId="1B0A9201">
            <wp:extent cx="5486400" cy="2731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mparacion_nodos.png"/>
                    <pic:cNvPicPr/>
                  </pic:nvPicPr>
                  <pic:blipFill>
                    <a:blip r:embed="rId8"/>
                    <a:stretch>
                      <a:fillRect/>
                    </a:stretch>
                  </pic:blipFill>
                  <pic:spPr>
                    <a:xfrm>
                      <a:off x="0" y="0"/>
                      <a:ext cx="5486400" cy="2731693"/>
                    </a:xfrm>
                    <a:prstGeom prst="rect">
                      <a:avLst/>
                    </a:prstGeom>
                  </pic:spPr>
                </pic:pic>
              </a:graphicData>
            </a:graphic>
          </wp:inline>
        </w:drawing>
      </w:r>
    </w:p>
    <w:p w14:paraId="6AC55597" w14:textId="77777777" w:rsidR="009215AF" w:rsidRDefault="009215AF"/>
    <w:p w14:paraId="2F717A91" w14:textId="77777777" w:rsidR="009215AF" w:rsidRDefault="00000000">
      <w:pPr>
        <w:jc w:val="both"/>
      </w:pPr>
      <w:r>
        <w:rPr>
          <w:color w:val="000000"/>
        </w:rPr>
        <w:t xml:space="preserve">El análisis comparativo revela que el punto con mayor consumo es Cumbre de cóndores Ote., con un total de 798 m³ durante el periodo analizado. Este valor representa un 105,2% por encima del promedio (388,9 m³ por punto), indicando una demanda significativamente superior a la media. Por otro lado, el punto con menor consumo es Esc. Lo Velásquez, con un total de 127,1 m³. Este valor representa un 67,3% por debajo del promedio, mostrando una demanda significativamente inferior. La diferencia entre el punto de mayor y menor consumo es considerable, siendo el consumo máximo aproximadamente 6,3 veces superior </w:t>
      </w:r>
      <w:r>
        <w:rPr>
          <w:color w:val="000000"/>
        </w:rPr>
        <w:lastRenderedPageBreak/>
        <w:t>al mínimo, lo que sugiere variaciones significativas en los patrones de uso entre los diferentes puntos de monitoreo.</w:t>
      </w:r>
    </w:p>
    <w:p w14:paraId="2F77D821" w14:textId="77777777" w:rsidR="009215AF" w:rsidRDefault="00000000">
      <w:pPr>
        <w:pStyle w:val="Ttulo1"/>
        <w:spacing w:after="60"/>
      </w:pPr>
      <w:r>
        <w:rPr>
          <w:color w:val="003366"/>
        </w:rPr>
        <w:t>RESUMEN POR PUNTO DE MONITOREO</w:t>
      </w:r>
    </w:p>
    <w:p w14:paraId="23AB4075" w14:textId="77777777" w:rsidR="009215AF" w:rsidRDefault="009215AF"/>
    <w:p w14:paraId="7BD49381" w14:textId="77777777" w:rsidR="009215AF" w:rsidRDefault="00000000">
      <w:pPr>
        <w:keepNext/>
        <w:spacing w:after="60"/>
      </w:pPr>
      <w:r>
        <w:rPr>
          <w:b/>
          <w:color w:val="003366"/>
        </w:rPr>
        <w:t>MÉTRICAS POR PUNTO</w:t>
      </w:r>
    </w:p>
    <w:tbl>
      <w:tblPr>
        <w:tblStyle w:val="Cuadrculaclara-nfasis1"/>
        <w:tblW w:w="0" w:type="auto"/>
        <w:tblLook w:val="04A0" w:firstRow="1" w:lastRow="0" w:firstColumn="1" w:lastColumn="0" w:noHBand="0" w:noVBand="1"/>
      </w:tblPr>
      <w:tblGrid>
        <w:gridCol w:w="1440"/>
        <w:gridCol w:w="1440"/>
        <w:gridCol w:w="1440"/>
        <w:gridCol w:w="1440"/>
        <w:gridCol w:w="1440"/>
        <w:gridCol w:w="1440"/>
      </w:tblGrid>
      <w:tr w:rsidR="009215AF" w14:paraId="565AE7D9" w14:textId="77777777" w:rsidTr="00921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9E1F2"/>
            <w:noWrap/>
          </w:tcPr>
          <w:p w14:paraId="252BB540" w14:textId="77777777" w:rsidR="009215AF" w:rsidRDefault="00000000">
            <w:r>
              <w:t>Ranking</w:t>
            </w:r>
          </w:p>
        </w:tc>
        <w:tc>
          <w:tcPr>
            <w:tcW w:w="1440" w:type="dxa"/>
            <w:shd w:val="clear" w:color="auto" w:fill="D9E1F2"/>
            <w:noWrap/>
          </w:tcPr>
          <w:p w14:paraId="18D5159E" w14:textId="77777777" w:rsidR="009215AF" w:rsidRDefault="00000000">
            <w:pPr>
              <w:cnfStyle w:val="100000000000" w:firstRow="1" w:lastRow="0" w:firstColumn="0" w:lastColumn="0" w:oddVBand="0" w:evenVBand="0" w:oddHBand="0" w:evenHBand="0" w:firstRowFirstColumn="0" w:firstRowLastColumn="0" w:lastRowFirstColumn="0" w:lastRowLastColumn="0"/>
            </w:pPr>
            <w:r>
              <w:t>Dispositivo</w:t>
            </w:r>
          </w:p>
        </w:tc>
        <w:tc>
          <w:tcPr>
            <w:tcW w:w="1440" w:type="dxa"/>
            <w:shd w:val="clear" w:color="auto" w:fill="D9E1F2"/>
            <w:noWrap/>
          </w:tcPr>
          <w:p w14:paraId="41AB1F2C" w14:textId="77777777" w:rsidR="009215AF" w:rsidRDefault="00000000">
            <w:pPr>
              <w:cnfStyle w:val="100000000000" w:firstRow="1" w:lastRow="0" w:firstColumn="0" w:lastColumn="0" w:oddVBand="0" w:evenVBand="0" w:oddHBand="0" w:evenHBand="0" w:firstRowFirstColumn="0" w:firstRowLastColumn="0" w:lastRowFirstColumn="0" w:lastRowLastColumn="0"/>
            </w:pPr>
            <w:r>
              <w:t>Consumo total (m³)</w:t>
            </w:r>
          </w:p>
        </w:tc>
        <w:tc>
          <w:tcPr>
            <w:tcW w:w="1440" w:type="dxa"/>
            <w:shd w:val="clear" w:color="auto" w:fill="D9E1F2"/>
            <w:noWrap/>
          </w:tcPr>
          <w:p w14:paraId="5CD7AD7B" w14:textId="77777777" w:rsidR="009215AF" w:rsidRDefault="00000000">
            <w:pPr>
              <w:cnfStyle w:val="100000000000" w:firstRow="1" w:lastRow="0" w:firstColumn="0" w:lastColumn="0" w:oddVBand="0" w:evenVBand="0" w:oddHBand="0" w:evenHBand="0" w:firstRowFirstColumn="0" w:firstRowLastColumn="0" w:lastRowFirstColumn="0" w:lastRowLastColumn="0"/>
            </w:pPr>
            <w:r>
              <w:t>Número de alerta</w:t>
            </w:r>
          </w:p>
        </w:tc>
        <w:tc>
          <w:tcPr>
            <w:tcW w:w="1440" w:type="dxa"/>
            <w:shd w:val="clear" w:color="auto" w:fill="D9E1F2"/>
            <w:noWrap/>
          </w:tcPr>
          <w:p w14:paraId="592720FF" w14:textId="77777777" w:rsidR="009215AF" w:rsidRDefault="00000000">
            <w:pPr>
              <w:cnfStyle w:val="100000000000" w:firstRow="1" w:lastRow="0" w:firstColumn="0" w:lastColumn="0" w:oddVBand="0" w:evenVBand="0" w:oddHBand="0" w:evenHBand="0" w:firstRowFirstColumn="0" w:firstRowLastColumn="0" w:lastRowFirstColumn="0" w:lastRowLastColumn="0"/>
            </w:pPr>
            <w:r>
              <w:t>Consumo nocturno</w:t>
            </w:r>
          </w:p>
        </w:tc>
        <w:tc>
          <w:tcPr>
            <w:tcW w:w="1440" w:type="dxa"/>
            <w:shd w:val="clear" w:color="auto" w:fill="D9E1F2"/>
            <w:noWrap/>
          </w:tcPr>
          <w:p w14:paraId="4D29C442" w14:textId="77777777" w:rsidR="009215AF" w:rsidRDefault="00000000">
            <w:pPr>
              <w:cnfStyle w:val="100000000000" w:firstRow="1" w:lastRow="0" w:firstColumn="0" w:lastColumn="0" w:oddVBand="0" w:evenVBand="0" w:oddHBand="0" w:evenHBand="0" w:firstRowFirstColumn="0" w:firstRowLastColumn="0" w:lastRowFirstColumn="0" w:lastRowLastColumn="0"/>
            </w:pPr>
            <w:r>
              <w:t>Proyección de filtración</w:t>
            </w:r>
          </w:p>
        </w:tc>
      </w:tr>
      <w:tr w:rsidR="009215AF" w14:paraId="37C0A80B" w14:textId="77777777" w:rsidTr="0092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noWrap/>
          </w:tcPr>
          <w:p w14:paraId="787D61CB" w14:textId="77777777" w:rsidR="009215AF" w:rsidRDefault="00000000">
            <w:r>
              <w:t>1</w:t>
            </w:r>
          </w:p>
        </w:tc>
        <w:tc>
          <w:tcPr>
            <w:tcW w:w="1440" w:type="dxa"/>
            <w:noWrap/>
          </w:tcPr>
          <w:p w14:paraId="7D1DB383" w14:textId="77777777" w:rsidR="009215AF" w:rsidRDefault="00000000">
            <w:pPr>
              <w:cnfStyle w:val="000000100000" w:firstRow="0" w:lastRow="0" w:firstColumn="0" w:lastColumn="0" w:oddVBand="0" w:evenVBand="0" w:oddHBand="1" w:evenHBand="0" w:firstRowFirstColumn="0" w:firstRowLastColumn="0" w:lastRowFirstColumn="0" w:lastRowLastColumn="0"/>
            </w:pPr>
            <w:r>
              <w:t>Cumbre de cóndores Ote.</w:t>
            </w:r>
          </w:p>
        </w:tc>
        <w:tc>
          <w:tcPr>
            <w:tcW w:w="1440" w:type="dxa"/>
            <w:noWrap/>
          </w:tcPr>
          <w:p w14:paraId="777C91B6" w14:textId="77777777" w:rsidR="009215AF" w:rsidRDefault="00000000">
            <w:pPr>
              <w:cnfStyle w:val="000000100000" w:firstRow="0" w:lastRow="0" w:firstColumn="0" w:lastColumn="0" w:oddVBand="0" w:evenVBand="0" w:oddHBand="1" w:evenHBand="0" w:firstRowFirstColumn="0" w:firstRowLastColumn="0" w:lastRowFirstColumn="0" w:lastRowLastColumn="0"/>
            </w:pPr>
            <w:r>
              <w:t>798</w:t>
            </w:r>
          </w:p>
        </w:tc>
        <w:tc>
          <w:tcPr>
            <w:tcW w:w="1440" w:type="dxa"/>
            <w:noWrap/>
          </w:tcPr>
          <w:p w14:paraId="00EEED54" w14:textId="77777777" w:rsidR="009215AF" w:rsidRDefault="00000000">
            <w:pPr>
              <w:cnfStyle w:val="000000100000" w:firstRow="0" w:lastRow="0" w:firstColumn="0" w:lastColumn="0" w:oddVBand="0" w:evenVBand="0" w:oddHBand="1" w:evenHBand="0" w:firstRowFirstColumn="0" w:firstRowLastColumn="0" w:lastRowFirstColumn="0" w:lastRowLastColumn="0"/>
            </w:pPr>
            <w:r>
              <w:t>1</w:t>
            </w:r>
          </w:p>
        </w:tc>
        <w:tc>
          <w:tcPr>
            <w:tcW w:w="1440" w:type="dxa"/>
            <w:noWrap/>
          </w:tcPr>
          <w:p w14:paraId="69136CE1" w14:textId="77777777" w:rsidR="009215AF" w:rsidRDefault="00000000">
            <w:pPr>
              <w:cnfStyle w:val="000000100000" w:firstRow="0" w:lastRow="0" w:firstColumn="0" w:lastColumn="0" w:oddVBand="0" w:evenVBand="0" w:oddHBand="1" w:evenHBand="0" w:firstRowFirstColumn="0" w:firstRowLastColumn="0" w:lastRowFirstColumn="0" w:lastRowLastColumn="0"/>
            </w:pPr>
            <w:r>
              <w:t>0 m³</w:t>
            </w:r>
          </w:p>
          <w:p w14:paraId="2944EAE1" w14:textId="77777777" w:rsidR="009215AF" w:rsidRDefault="00000000">
            <w:pPr>
              <w:cnfStyle w:val="000000100000" w:firstRow="0" w:lastRow="0" w:firstColumn="0" w:lastColumn="0" w:oddVBand="0" w:evenVBand="0" w:oddHBand="1" w:evenHBand="0" w:firstRowFirstColumn="0" w:firstRowLastColumn="0" w:lastRowFirstColumn="0" w:lastRowLastColumn="0"/>
            </w:pPr>
            <w:r>
              <w:t>(0 días, 0%)</w:t>
            </w:r>
          </w:p>
        </w:tc>
        <w:tc>
          <w:tcPr>
            <w:tcW w:w="1440" w:type="dxa"/>
            <w:noWrap/>
          </w:tcPr>
          <w:p w14:paraId="53F37156" w14:textId="77777777" w:rsidR="009215AF" w:rsidRDefault="00000000">
            <w:pPr>
              <w:cnfStyle w:val="000000100000" w:firstRow="0" w:lastRow="0" w:firstColumn="0" w:lastColumn="0" w:oddVBand="0" w:evenVBand="0" w:oddHBand="1" w:evenHBand="0" w:firstRowFirstColumn="0" w:firstRowLastColumn="0" w:lastRowFirstColumn="0" w:lastRowLastColumn="0"/>
            </w:pPr>
            <w:r>
              <w:t>0,0 m³</w:t>
            </w:r>
          </w:p>
          <w:p w14:paraId="3D4FC18A" w14:textId="77777777" w:rsidR="009215AF" w:rsidRDefault="00000000">
            <w:pPr>
              <w:cnfStyle w:val="000000100000" w:firstRow="0" w:lastRow="0" w:firstColumn="0" w:lastColumn="0" w:oddVBand="0" w:evenVBand="0" w:oddHBand="1" w:evenHBand="0" w:firstRowFirstColumn="0" w:firstRowLastColumn="0" w:lastRowFirstColumn="0" w:lastRowLastColumn="0"/>
            </w:pPr>
            <w:r>
              <w:t>(0,0%)</w:t>
            </w:r>
          </w:p>
        </w:tc>
      </w:tr>
      <w:tr w:rsidR="009215AF" w14:paraId="08593CF8" w14:textId="77777777" w:rsidTr="00921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noWrap/>
          </w:tcPr>
          <w:p w14:paraId="74FB90D3" w14:textId="77777777" w:rsidR="009215AF" w:rsidRDefault="00000000">
            <w:r>
              <w:t>2</w:t>
            </w:r>
          </w:p>
        </w:tc>
        <w:tc>
          <w:tcPr>
            <w:tcW w:w="1440" w:type="dxa"/>
            <w:noWrap/>
          </w:tcPr>
          <w:p w14:paraId="71EFDEE4" w14:textId="77777777" w:rsidR="009215AF" w:rsidRDefault="00000000">
            <w:pPr>
              <w:cnfStyle w:val="000000010000" w:firstRow="0" w:lastRow="0" w:firstColumn="0" w:lastColumn="0" w:oddVBand="0" w:evenVBand="0" w:oddHBand="0" w:evenHBand="1" w:firstRowFirstColumn="0" w:firstRowLastColumn="0" w:lastRowFirstColumn="0" w:lastRowLastColumn="0"/>
            </w:pPr>
            <w:r>
              <w:t>Cumbre de cóndores pte.</w:t>
            </w:r>
          </w:p>
        </w:tc>
        <w:tc>
          <w:tcPr>
            <w:tcW w:w="1440" w:type="dxa"/>
            <w:noWrap/>
          </w:tcPr>
          <w:p w14:paraId="1A46D4EE" w14:textId="77777777" w:rsidR="009215AF" w:rsidRDefault="00000000">
            <w:pPr>
              <w:cnfStyle w:val="000000010000" w:firstRow="0" w:lastRow="0" w:firstColumn="0" w:lastColumn="0" w:oddVBand="0" w:evenVBand="0" w:oddHBand="0" w:evenHBand="1" w:firstRowFirstColumn="0" w:firstRowLastColumn="0" w:lastRowFirstColumn="0" w:lastRowLastColumn="0"/>
            </w:pPr>
            <w:r>
              <w:t>241,7</w:t>
            </w:r>
          </w:p>
        </w:tc>
        <w:tc>
          <w:tcPr>
            <w:tcW w:w="1440" w:type="dxa"/>
            <w:noWrap/>
          </w:tcPr>
          <w:p w14:paraId="2A636AEE" w14:textId="77777777" w:rsidR="009215AF" w:rsidRDefault="00000000">
            <w:pPr>
              <w:cnfStyle w:val="000000010000" w:firstRow="0" w:lastRow="0" w:firstColumn="0" w:lastColumn="0" w:oddVBand="0" w:evenVBand="0" w:oddHBand="0" w:evenHBand="1" w:firstRowFirstColumn="0" w:firstRowLastColumn="0" w:lastRowFirstColumn="0" w:lastRowLastColumn="0"/>
            </w:pPr>
            <w:r>
              <w:t>16</w:t>
            </w:r>
          </w:p>
        </w:tc>
        <w:tc>
          <w:tcPr>
            <w:tcW w:w="1440" w:type="dxa"/>
            <w:noWrap/>
          </w:tcPr>
          <w:p w14:paraId="4309F657" w14:textId="77777777" w:rsidR="009215AF" w:rsidRDefault="00000000">
            <w:pPr>
              <w:cnfStyle w:val="000000010000" w:firstRow="0" w:lastRow="0" w:firstColumn="0" w:lastColumn="0" w:oddVBand="0" w:evenVBand="0" w:oddHBand="0" w:evenHBand="1" w:firstRowFirstColumn="0" w:firstRowLastColumn="0" w:lastRowFirstColumn="0" w:lastRowLastColumn="0"/>
            </w:pPr>
            <w:r>
              <w:t>0,5 m³</w:t>
            </w:r>
          </w:p>
          <w:p w14:paraId="703C4530" w14:textId="77777777" w:rsidR="009215AF" w:rsidRDefault="00000000">
            <w:pPr>
              <w:cnfStyle w:val="000000010000" w:firstRow="0" w:lastRow="0" w:firstColumn="0" w:lastColumn="0" w:oddVBand="0" w:evenVBand="0" w:oddHBand="0" w:evenHBand="1" w:firstRowFirstColumn="0" w:firstRowLastColumn="0" w:lastRowFirstColumn="0" w:lastRowLastColumn="0"/>
            </w:pPr>
            <w:r>
              <w:t>(5 días, 16,1%)</w:t>
            </w:r>
          </w:p>
        </w:tc>
        <w:tc>
          <w:tcPr>
            <w:tcW w:w="1440" w:type="dxa"/>
            <w:noWrap/>
          </w:tcPr>
          <w:p w14:paraId="53373D9E" w14:textId="77777777" w:rsidR="009215AF" w:rsidRDefault="00000000">
            <w:pPr>
              <w:cnfStyle w:val="000000010000" w:firstRow="0" w:lastRow="0" w:firstColumn="0" w:lastColumn="0" w:oddVBand="0" w:evenVBand="0" w:oddHBand="0" w:evenHBand="1" w:firstRowFirstColumn="0" w:firstRowLastColumn="0" w:lastRowFirstColumn="0" w:lastRowLastColumn="0"/>
            </w:pPr>
            <w:r>
              <w:t>0,0 m³</w:t>
            </w:r>
          </w:p>
          <w:p w14:paraId="0943C7EB" w14:textId="77777777" w:rsidR="009215AF" w:rsidRDefault="00000000">
            <w:pPr>
              <w:cnfStyle w:val="000000010000" w:firstRow="0" w:lastRow="0" w:firstColumn="0" w:lastColumn="0" w:oddVBand="0" w:evenVBand="0" w:oddHBand="0" w:evenHBand="1" w:firstRowFirstColumn="0" w:firstRowLastColumn="0" w:lastRowFirstColumn="0" w:lastRowLastColumn="0"/>
            </w:pPr>
            <w:r>
              <w:t>(0,0%)</w:t>
            </w:r>
          </w:p>
        </w:tc>
      </w:tr>
      <w:tr w:rsidR="009215AF" w14:paraId="198C078A" w14:textId="77777777" w:rsidTr="00921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noWrap/>
          </w:tcPr>
          <w:p w14:paraId="6284AB37" w14:textId="77777777" w:rsidR="009215AF" w:rsidRDefault="00000000">
            <w:r>
              <w:t>3</w:t>
            </w:r>
          </w:p>
        </w:tc>
        <w:tc>
          <w:tcPr>
            <w:tcW w:w="1440" w:type="dxa"/>
            <w:noWrap/>
          </w:tcPr>
          <w:p w14:paraId="16A954DE" w14:textId="77777777" w:rsidR="009215AF" w:rsidRDefault="00000000">
            <w:pPr>
              <w:cnfStyle w:val="000000100000" w:firstRow="0" w:lastRow="0" w:firstColumn="0" w:lastColumn="0" w:oddVBand="0" w:evenVBand="0" w:oddHBand="1" w:evenHBand="0" w:firstRowFirstColumn="0" w:firstRowLastColumn="0" w:lastRowFirstColumn="0" w:lastRowLastColumn="0"/>
            </w:pPr>
            <w:r>
              <w:t>Esc. Lo Velásquez</w:t>
            </w:r>
          </w:p>
        </w:tc>
        <w:tc>
          <w:tcPr>
            <w:tcW w:w="1440" w:type="dxa"/>
            <w:noWrap/>
          </w:tcPr>
          <w:p w14:paraId="79299419" w14:textId="77777777" w:rsidR="009215AF" w:rsidRDefault="00000000">
            <w:pPr>
              <w:cnfStyle w:val="000000100000" w:firstRow="0" w:lastRow="0" w:firstColumn="0" w:lastColumn="0" w:oddVBand="0" w:evenVBand="0" w:oddHBand="1" w:evenHBand="0" w:firstRowFirstColumn="0" w:firstRowLastColumn="0" w:lastRowFirstColumn="0" w:lastRowLastColumn="0"/>
            </w:pPr>
            <w:r>
              <w:t>127,1</w:t>
            </w:r>
          </w:p>
        </w:tc>
        <w:tc>
          <w:tcPr>
            <w:tcW w:w="1440" w:type="dxa"/>
            <w:noWrap/>
          </w:tcPr>
          <w:p w14:paraId="4B237FEA" w14:textId="77777777" w:rsidR="009215AF" w:rsidRDefault="00000000">
            <w:pPr>
              <w:cnfStyle w:val="000000100000" w:firstRow="0" w:lastRow="0" w:firstColumn="0" w:lastColumn="0" w:oddVBand="0" w:evenVBand="0" w:oddHBand="1" w:evenHBand="0" w:firstRowFirstColumn="0" w:firstRowLastColumn="0" w:lastRowFirstColumn="0" w:lastRowLastColumn="0"/>
            </w:pPr>
            <w:r>
              <w:t>1</w:t>
            </w:r>
          </w:p>
        </w:tc>
        <w:tc>
          <w:tcPr>
            <w:tcW w:w="1440" w:type="dxa"/>
            <w:noWrap/>
          </w:tcPr>
          <w:p w14:paraId="2BEEFF2A" w14:textId="77777777" w:rsidR="009215AF" w:rsidRDefault="00000000">
            <w:pPr>
              <w:cnfStyle w:val="000000100000" w:firstRow="0" w:lastRow="0" w:firstColumn="0" w:lastColumn="0" w:oddVBand="0" w:evenVBand="0" w:oddHBand="1" w:evenHBand="0" w:firstRowFirstColumn="0" w:firstRowLastColumn="0" w:lastRowFirstColumn="0" w:lastRowLastColumn="0"/>
            </w:pPr>
            <w:r>
              <w:t>0 m³</w:t>
            </w:r>
          </w:p>
          <w:p w14:paraId="0ABFA8DB" w14:textId="77777777" w:rsidR="009215AF" w:rsidRDefault="00000000">
            <w:pPr>
              <w:cnfStyle w:val="000000100000" w:firstRow="0" w:lastRow="0" w:firstColumn="0" w:lastColumn="0" w:oddVBand="0" w:evenVBand="0" w:oddHBand="1" w:evenHBand="0" w:firstRowFirstColumn="0" w:firstRowLastColumn="0" w:lastRowFirstColumn="0" w:lastRowLastColumn="0"/>
            </w:pPr>
            <w:r>
              <w:t>(0 días, 0%)</w:t>
            </w:r>
          </w:p>
        </w:tc>
        <w:tc>
          <w:tcPr>
            <w:tcW w:w="1440" w:type="dxa"/>
            <w:noWrap/>
          </w:tcPr>
          <w:p w14:paraId="75BD8EAE" w14:textId="77777777" w:rsidR="009215AF" w:rsidRDefault="00000000">
            <w:pPr>
              <w:cnfStyle w:val="000000100000" w:firstRow="0" w:lastRow="0" w:firstColumn="0" w:lastColumn="0" w:oddVBand="0" w:evenVBand="0" w:oddHBand="1" w:evenHBand="0" w:firstRowFirstColumn="0" w:firstRowLastColumn="0" w:lastRowFirstColumn="0" w:lastRowLastColumn="0"/>
            </w:pPr>
            <w:r>
              <w:t>0,0 m³</w:t>
            </w:r>
          </w:p>
          <w:p w14:paraId="0417A11A" w14:textId="77777777" w:rsidR="009215AF" w:rsidRDefault="00000000">
            <w:pPr>
              <w:cnfStyle w:val="000000100000" w:firstRow="0" w:lastRow="0" w:firstColumn="0" w:lastColumn="0" w:oddVBand="0" w:evenVBand="0" w:oddHBand="1" w:evenHBand="0" w:firstRowFirstColumn="0" w:firstRowLastColumn="0" w:lastRowFirstColumn="0" w:lastRowLastColumn="0"/>
            </w:pPr>
            <w:r>
              <w:t>(0,0%)</w:t>
            </w:r>
          </w:p>
        </w:tc>
      </w:tr>
      <w:tr w:rsidR="009215AF" w14:paraId="11B6866C" w14:textId="77777777" w:rsidTr="009215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FE6E6"/>
            <w:noWrap/>
          </w:tcPr>
          <w:p w14:paraId="2C09E93D" w14:textId="77777777" w:rsidR="009215AF" w:rsidRDefault="009215AF"/>
        </w:tc>
        <w:tc>
          <w:tcPr>
            <w:tcW w:w="1440" w:type="dxa"/>
            <w:shd w:val="clear" w:color="auto" w:fill="FFE6E6"/>
            <w:noWrap/>
          </w:tcPr>
          <w:p w14:paraId="1345942B" w14:textId="77777777" w:rsidR="009215AF" w:rsidRDefault="00000000">
            <w:pPr>
              <w:cnfStyle w:val="000000010000" w:firstRow="0" w:lastRow="0" w:firstColumn="0" w:lastColumn="0" w:oddVBand="0" w:evenVBand="0" w:oddHBand="0" w:evenHBand="1" w:firstRowFirstColumn="0" w:firstRowLastColumn="0" w:lastRowFirstColumn="0" w:lastRowLastColumn="0"/>
            </w:pPr>
            <w:r>
              <w:rPr>
                <w:b/>
                <w:color w:val="FF0000"/>
              </w:rPr>
              <w:t>TOTAL</w:t>
            </w:r>
          </w:p>
        </w:tc>
        <w:tc>
          <w:tcPr>
            <w:tcW w:w="1440" w:type="dxa"/>
            <w:shd w:val="clear" w:color="auto" w:fill="FFE6E6"/>
            <w:noWrap/>
          </w:tcPr>
          <w:p w14:paraId="6F51E247" w14:textId="77777777" w:rsidR="009215AF" w:rsidRDefault="00000000">
            <w:pPr>
              <w:cnfStyle w:val="000000010000" w:firstRow="0" w:lastRow="0" w:firstColumn="0" w:lastColumn="0" w:oddVBand="0" w:evenVBand="0" w:oddHBand="0" w:evenHBand="1" w:firstRowFirstColumn="0" w:firstRowLastColumn="0" w:lastRowFirstColumn="0" w:lastRowLastColumn="0"/>
            </w:pPr>
            <w:r>
              <w:rPr>
                <w:b/>
                <w:color w:val="FF0000"/>
              </w:rPr>
              <w:t>1.166,8</w:t>
            </w:r>
          </w:p>
        </w:tc>
        <w:tc>
          <w:tcPr>
            <w:tcW w:w="1440" w:type="dxa"/>
            <w:shd w:val="clear" w:color="auto" w:fill="FFE6E6"/>
            <w:noWrap/>
          </w:tcPr>
          <w:p w14:paraId="3362A186" w14:textId="77777777" w:rsidR="009215AF" w:rsidRDefault="00000000">
            <w:pPr>
              <w:cnfStyle w:val="000000010000" w:firstRow="0" w:lastRow="0" w:firstColumn="0" w:lastColumn="0" w:oddVBand="0" w:evenVBand="0" w:oddHBand="0" w:evenHBand="1" w:firstRowFirstColumn="0" w:firstRowLastColumn="0" w:lastRowFirstColumn="0" w:lastRowLastColumn="0"/>
            </w:pPr>
            <w:r>
              <w:rPr>
                <w:b/>
                <w:color w:val="FF0000"/>
              </w:rPr>
              <w:t>18</w:t>
            </w:r>
          </w:p>
        </w:tc>
        <w:tc>
          <w:tcPr>
            <w:tcW w:w="1440" w:type="dxa"/>
            <w:shd w:val="clear" w:color="auto" w:fill="FFE6E6"/>
            <w:noWrap/>
          </w:tcPr>
          <w:p w14:paraId="69DB6286" w14:textId="77777777" w:rsidR="009215AF" w:rsidRDefault="00000000">
            <w:pPr>
              <w:cnfStyle w:val="000000010000" w:firstRow="0" w:lastRow="0" w:firstColumn="0" w:lastColumn="0" w:oddVBand="0" w:evenVBand="0" w:oddHBand="0" w:evenHBand="1" w:firstRowFirstColumn="0" w:firstRowLastColumn="0" w:lastRowFirstColumn="0" w:lastRowLastColumn="0"/>
            </w:pPr>
            <w:r>
              <w:rPr>
                <w:b/>
                <w:color w:val="FF0000"/>
              </w:rPr>
              <w:t>0,5 m³</w:t>
            </w:r>
          </w:p>
        </w:tc>
        <w:tc>
          <w:tcPr>
            <w:tcW w:w="1440" w:type="dxa"/>
            <w:shd w:val="clear" w:color="auto" w:fill="FFE6E6"/>
            <w:noWrap/>
          </w:tcPr>
          <w:p w14:paraId="205FAE82" w14:textId="77777777" w:rsidR="009215AF" w:rsidRDefault="00000000">
            <w:pPr>
              <w:cnfStyle w:val="000000010000" w:firstRow="0" w:lastRow="0" w:firstColumn="0" w:lastColumn="0" w:oddVBand="0" w:evenVBand="0" w:oddHBand="0" w:evenHBand="1" w:firstRowFirstColumn="0" w:firstRowLastColumn="0" w:lastRowFirstColumn="0" w:lastRowLastColumn="0"/>
            </w:pPr>
            <w:r>
              <w:rPr>
                <w:b/>
                <w:color w:val="FF0000"/>
              </w:rPr>
              <w:t>0 m³</w:t>
            </w:r>
          </w:p>
        </w:tc>
      </w:tr>
    </w:tbl>
    <w:p w14:paraId="224FA4DE" w14:textId="77777777" w:rsidR="009215AF" w:rsidRDefault="009215AF"/>
    <w:p w14:paraId="6474A500" w14:textId="77777777" w:rsidR="009215AF" w:rsidRDefault="00000000">
      <w:pPr>
        <w:keepNext/>
        <w:spacing w:after="60"/>
        <w:jc w:val="center"/>
      </w:pPr>
      <w:r>
        <w:rPr>
          <w:noProof/>
        </w:rPr>
        <w:drawing>
          <wp:inline distT="0" distB="0" distL="0" distR="0" wp14:anchorId="7F8FE94E" wp14:editId="4EF65756">
            <wp:extent cx="5486400" cy="3410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nsumo_nocturno_nodos.png"/>
                    <pic:cNvPicPr/>
                  </pic:nvPicPr>
                  <pic:blipFill>
                    <a:blip r:embed="rId9"/>
                    <a:stretch>
                      <a:fillRect/>
                    </a:stretch>
                  </pic:blipFill>
                  <pic:spPr>
                    <a:xfrm>
                      <a:off x="0" y="0"/>
                      <a:ext cx="5486400" cy="3410465"/>
                    </a:xfrm>
                    <a:prstGeom prst="rect">
                      <a:avLst/>
                    </a:prstGeom>
                  </pic:spPr>
                </pic:pic>
              </a:graphicData>
            </a:graphic>
          </wp:inline>
        </w:drawing>
      </w:r>
    </w:p>
    <w:p w14:paraId="69EACE5C" w14:textId="77777777" w:rsidR="009215AF" w:rsidRDefault="009215AF"/>
    <w:p w14:paraId="6FFB85B2" w14:textId="77777777" w:rsidR="009215AF" w:rsidRDefault="00000000">
      <w:pPr>
        <w:keepNext/>
        <w:spacing w:after="60"/>
      </w:pPr>
      <w:r>
        <w:rPr>
          <w:b/>
          <w:color w:val="003366"/>
        </w:rPr>
        <w:lastRenderedPageBreak/>
        <w:t>DÍA CON MAYOR CONSUMO NOCTURNO - CUMBRE DE CÓNDORES PTE. (17-03-26):</w:t>
      </w:r>
    </w:p>
    <w:p w14:paraId="1F44FB8C" w14:textId="77777777" w:rsidR="009215AF" w:rsidRDefault="00000000">
      <w:pPr>
        <w:keepNext/>
        <w:spacing w:after="60"/>
        <w:jc w:val="center"/>
      </w:pPr>
      <w:r>
        <w:rPr>
          <w:noProof/>
        </w:rPr>
        <w:drawing>
          <wp:inline distT="0" distB="0" distL="0" distR="0" wp14:anchorId="5B815DC6" wp14:editId="0CF7657A">
            <wp:extent cx="5486400" cy="2702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ax_nocturnal_000017_07.png"/>
                    <pic:cNvPicPr/>
                  </pic:nvPicPr>
                  <pic:blipFill>
                    <a:blip r:embed="rId10"/>
                    <a:stretch>
                      <a:fillRect/>
                    </a:stretch>
                  </pic:blipFill>
                  <pic:spPr>
                    <a:xfrm>
                      <a:off x="0" y="0"/>
                      <a:ext cx="5486400" cy="2702533"/>
                    </a:xfrm>
                    <a:prstGeom prst="rect">
                      <a:avLst/>
                    </a:prstGeom>
                  </pic:spPr>
                </pic:pic>
              </a:graphicData>
            </a:graphic>
          </wp:inline>
        </w:drawing>
      </w:r>
    </w:p>
    <w:p w14:paraId="3472E355" w14:textId="77777777" w:rsidR="009215AF" w:rsidRDefault="00000000">
      <w:pPr>
        <w:jc w:val="both"/>
      </w:pPr>
      <w:r>
        <w:rPr>
          <w:color w:val="000000"/>
        </w:rPr>
        <w:t>El nodo Cumbre de cóndores pte. registró 16 alerta(s) durante 13 día(s) del periodo analizado. La periodicidad de las alertas es intermitente (más del 20% de los días).</w:t>
      </w:r>
    </w:p>
    <w:p w14:paraId="3687F392" w14:textId="77777777" w:rsidR="009215AF" w:rsidRDefault="009215AF"/>
    <w:p w14:paraId="1897EAA7" w14:textId="77777777" w:rsidR="009215AF" w:rsidRDefault="00000000">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14:paraId="1711CE81" w14:textId="77777777" w:rsidR="009215AF" w:rsidRDefault="00000000">
      <w:pPr>
        <w:pStyle w:val="Ttulo1"/>
        <w:spacing w:after="60"/>
      </w:pPr>
      <w:r>
        <w:rPr>
          <w:color w:val="003366"/>
        </w:rPr>
        <w:t>CONCLUSIONES</w:t>
      </w:r>
    </w:p>
    <w:p w14:paraId="212BE96E" w14:textId="77777777" w:rsidR="009215AF" w:rsidRDefault="00000000">
      <w:pPr>
        <w:keepNext/>
        <w:jc w:val="both"/>
      </w:pPr>
      <w:r>
        <w:rPr>
          <w:color w:val="000000"/>
        </w:rPr>
        <w:t>Este reporte sintetiza los principales hallazgos de consumo y fugas. Se recomienda revisar los días con mayor consumo y atender las alertas registradas.</w:t>
      </w:r>
    </w:p>
    <w:sectPr w:rsidR="009215AF"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EE2E2" w14:textId="77777777" w:rsidR="00C33C8E" w:rsidRDefault="00C33C8E">
      <w:pPr>
        <w:spacing w:after="0" w:line="240" w:lineRule="auto"/>
      </w:pPr>
      <w:r>
        <w:separator/>
      </w:r>
    </w:p>
  </w:endnote>
  <w:endnote w:type="continuationSeparator" w:id="0">
    <w:p w14:paraId="287A682E" w14:textId="77777777" w:rsidR="00C33C8E" w:rsidRDefault="00C33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44F06" w14:textId="77777777" w:rsidR="00C33C8E" w:rsidRDefault="00C33C8E">
      <w:pPr>
        <w:spacing w:after="0" w:line="240" w:lineRule="auto"/>
      </w:pPr>
      <w:r>
        <w:separator/>
      </w:r>
    </w:p>
  </w:footnote>
  <w:footnote w:type="continuationSeparator" w:id="0">
    <w:p w14:paraId="7C53DB2F" w14:textId="77777777" w:rsidR="00C33C8E" w:rsidRDefault="00C33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C7264" w14:textId="77777777" w:rsidR="009215AF" w:rsidRDefault="00000000">
    <w:pPr>
      <w:pStyle w:val="Encabezado"/>
      <w:jc w:val="right"/>
    </w:pPr>
    <w:r>
      <w:rPr>
        <w:noProof/>
      </w:rPr>
      <w:drawing>
        <wp:inline distT="0" distB="0" distL="0" distR="0" wp14:anchorId="625C83DA" wp14:editId="123B3583">
          <wp:extent cx="1371600" cy="304081"/>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es.bmp"/>
                  <pic:cNvPicPr/>
                </pic:nvPicPr>
                <pic:blipFill>
                  <a:blip r:embed="rId1"/>
                  <a:stretch>
                    <a:fillRect/>
                  </a:stretch>
                </pic:blipFill>
                <pic:spPr>
                  <a:xfrm>
                    <a:off x="0" y="0"/>
                    <a:ext cx="1371600" cy="3040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2720872">
    <w:abstractNumId w:val="8"/>
  </w:num>
  <w:num w:numId="2" w16cid:durableId="319310012">
    <w:abstractNumId w:val="6"/>
  </w:num>
  <w:num w:numId="3" w16cid:durableId="624235058">
    <w:abstractNumId w:val="5"/>
  </w:num>
  <w:num w:numId="4" w16cid:durableId="359091008">
    <w:abstractNumId w:val="4"/>
  </w:num>
  <w:num w:numId="5" w16cid:durableId="294411035">
    <w:abstractNumId w:val="7"/>
  </w:num>
  <w:num w:numId="6" w16cid:durableId="1538470529">
    <w:abstractNumId w:val="3"/>
  </w:num>
  <w:num w:numId="7" w16cid:durableId="1375887107">
    <w:abstractNumId w:val="2"/>
  </w:num>
  <w:num w:numId="8" w16cid:durableId="1742369880">
    <w:abstractNumId w:val="1"/>
  </w:num>
  <w:num w:numId="9" w16cid:durableId="64212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011B"/>
    <w:rsid w:val="009215AF"/>
    <w:rsid w:val="00A80AB7"/>
    <w:rsid w:val="00AA1D8D"/>
    <w:rsid w:val="00B47730"/>
    <w:rsid w:val="00C33C8E"/>
    <w:rsid w:val="00CB0664"/>
    <w:rsid w:val="00DC0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BD7C4"/>
  <w14:defaultImageDpi w14:val="300"/>
  <w15:docId w15:val="{61F2E72A-4758-43E4-95CF-538BC6B7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346</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Anibal Aranda Alvarado</cp:lastModifiedBy>
  <cp:revision>4</cp:revision>
  <cp:lastPrinted>2026-03-31T20:34:00Z</cp:lastPrinted>
  <dcterms:created xsi:type="dcterms:W3CDTF">2013-12-23T23:15:00Z</dcterms:created>
  <dcterms:modified xsi:type="dcterms:W3CDTF">2026-03-31T20:34:00Z</dcterms:modified>
  <cp:category/>
</cp:coreProperties>
</file>