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Renca</w:t>
      </w:r>
    </w:p>
    <w:p>
      <w:pPr>
        <w:jc w:val="center"/>
      </w:pPr>
      <w:r>
        <w:t>MONITOREO WES</w:t>
        <w:br/>
        <w:t>Análisis consolidado de 3 puntos de monitoreo</w:t>
        <w:br/>
        <w:t>Rango: 01-04-26 - 30-04-26</w:t>
        <w:br/>
        <w:t>Generado: 05-05-26 15:45</w:t>
      </w:r>
    </w:p>
    <w:p>
      <w:pPr>
        <w:pStyle w:val="Heading1"/>
        <w:keepNext/>
        <w:widowControl/>
        <w:spacing w:after="60"/>
      </w:pPr>
      <w:r>
        <w:rPr>
          <w:b/>
          <w:color w:val="003366"/>
        </w:rPr>
        <w:t>RESUMEN EJECUTIVO AGREGADO</w:t>
      </w:r>
    </w:p>
    <w:p>
      <w:r>
        <w:t>Puntos de monitoreo analizados: 3.</w:t>
        <w:br/>
      </w:r>
      <w:r>
        <w:t>Consumo total agregado: 1.102,3 m³.</w:t>
        <w:br/>
      </w:r>
      <w:r>
        <w:t>Consumo promedio por punto: 367,4 m³.</w:t>
        <w:br/>
      </w:r>
      <w:r>
        <w:t>Total de alertas registradas: 27.</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31693"/>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31693"/>
                    </a:xfrm>
                    <a:prstGeom prst="rect"/>
                  </pic:spPr>
                </pic:pic>
              </a:graphicData>
            </a:graphic>
          </wp:inline>
        </w:drawing>
      </w:r>
    </w:p>
    <w:p/>
    <w:p>
      <w:pPr>
        <w:jc w:val="both"/>
      </w:pPr>
      <w:r>
        <w:rPr>
          <w:color w:val="000000"/>
        </w:rPr>
        <w:t>El análisis comparativo revela que el punto con mayor consumo es Colegio ICCO Renca, con un total de 953,8 m³ durante el periodo analizado. Este valor representa un 159,6% por encima del promedio (367,4 m³ por punto), indicando una demanda significativamente superior a la media. Por otro lado, el punto con menor consumo es José Luis Araneda, con un total de 0 m³. Este valor representa un 100% por debajo del promedio, mostrando una demanda significativamente inferior. Los puntos muestran consumos relativamente homogéneos, con una diferencia limitada entre el máximo y el mínimo.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9"/>
        <w:gridCol w:w="1137"/>
        <w:gridCol w:w="1137"/>
        <w:gridCol w:w="1011"/>
        <w:gridCol w:w="1580"/>
        <w:gridCol w:w="1516"/>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Colegio ICCO Renca</w:t>
            </w:r>
          </w:p>
        </w:tc>
        <w:tc>
          <w:tcPr>
            <w:tcW w:type="dxa" w:w="1440"/>
            <w:noWrap/>
          </w:tcPr>
          <w:p>
            <w:r>
              <w:t>953,8</w:t>
            </w:r>
          </w:p>
        </w:tc>
        <w:tc>
          <w:tcPr>
            <w:tcW w:type="dxa" w:w="1440"/>
            <w:noWrap/>
          </w:tcPr>
          <w:p>
            <w:r>
              <w:t>26</w:t>
            </w:r>
          </w:p>
        </w:tc>
        <w:tc>
          <w:tcPr>
            <w:tcW w:type="dxa" w:w="1440"/>
            <w:noWrap/>
          </w:tcPr>
          <w:p>
            <w:pPr>
              <w:jc w:val="left"/>
            </w:pPr>
            <w:r>
              <w:t>209,5 m³</w:t>
            </w:r>
          </w:p>
          <w:p>
            <w:pPr>
              <w:jc w:val="left"/>
            </w:pPr>
            <w:r>
              <w:t>(26 días, 86,7%)</w:t>
            </w:r>
          </w:p>
        </w:tc>
        <w:tc>
          <w:tcPr>
            <w:tcW w:type="dxa" w:w="1440"/>
            <w:noWrap/>
          </w:tcPr>
          <w:p>
            <w:pPr>
              <w:jc w:val="left"/>
            </w:pPr>
            <w:r>
              <w:t>718,4 m³</w:t>
            </w:r>
          </w:p>
          <w:p>
            <w:pPr>
              <w:jc w:val="left"/>
            </w:pPr>
            <w:r>
              <w:t>(75,3%)</w:t>
            </w:r>
          </w:p>
        </w:tc>
      </w:tr>
      <w:tr>
        <w:tc>
          <w:tcPr>
            <w:tcW w:type="dxa" w:w="1440"/>
            <w:noWrap/>
          </w:tcPr>
          <w:p>
            <w:r>
              <w:t>2</w:t>
            </w:r>
          </w:p>
        </w:tc>
        <w:tc>
          <w:tcPr>
            <w:tcW w:type="dxa" w:w="1440"/>
            <w:noWrap/>
          </w:tcPr>
          <w:p>
            <w:r>
              <w:t>Esc. Lo Velásquez</w:t>
            </w:r>
          </w:p>
        </w:tc>
        <w:tc>
          <w:tcPr>
            <w:tcW w:type="dxa" w:w="1440"/>
            <w:noWrap/>
          </w:tcPr>
          <w:p>
            <w:r>
              <w:t>148,5</w:t>
            </w:r>
          </w:p>
        </w:tc>
        <w:tc>
          <w:tcPr>
            <w:tcW w:type="dxa" w:w="1440"/>
            <w:noWrap/>
          </w:tcPr>
          <w:p>
            <w:r>
              <w:t>1</w:t>
            </w:r>
          </w:p>
        </w:tc>
        <w:tc>
          <w:tcPr>
            <w:tcW w:type="dxa" w:w="1440"/>
            <w:noWrap/>
          </w:tcPr>
          <w:p>
            <w:pPr>
              <w:jc w:val="left"/>
            </w:pPr>
            <w:r>
              <w:t>34,6 m³</w:t>
            </w:r>
          </w:p>
          <w:p>
            <w:pPr>
              <w:jc w:val="left"/>
            </w:pPr>
            <w:r>
              <w:t>(22 días, 73,3%)</w:t>
            </w:r>
          </w:p>
        </w:tc>
        <w:tc>
          <w:tcPr>
            <w:tcW w:type="dxa" w:w="1440"/>
            <w:noWrap/>
          </w:tcPr>
          <w:p>
            <w:pPr>
              <w:jc w:val="left"/>
            </w:pPr>
            <w:r>
              <w:t>0,0 m³</w:t>
            </w:r>
          </w:p>
          <w:p>
            <w:pPr>
              <w:jc w:val="left"/>
            </w:pPr>
            <w:r>
              <w:t>(0,0%)</w:t>
            </w:r>
          </w:p>
        </w:tc>
      </w:tr>
      <w:tr>
        <w:tc>
          <w:tcPr>
            <w:tcW w:type="dxa" w:w="1440"/>
            <w:noWrap/>
          </w:tcPr>
          <w:p>
            <w:r>
              <w:t>3</w:t>
            </w:r>
          </w:p>
        </w:tc>
        <w:tc>
          <w:tcPr>
            <w:tcW w:type="dxa" w:w="1440"/>
            <w:noWrap/>
          </w:tcPr>
          <w:p>
            <w:r>
              <w:t>José Luis Araneda</w:t>
            </w:r>
          </w:p>
        </w:tc>
        <w:tc>
          <w:tcPr>
            <w:tcW w:type="dxa" w:w="1440"/>
            <w:noWrap/>
          </w:tcPr>
          <w:p>
            <w:r>
              <w:t>0</w:t>
            </w:r>
          </w:p>
        </w:tc>
        <w:tc>
          <w:tcPr>
            <w:tcW w:type="dxa" w:w="1440"/>
            <w:noWrap/>
          </w:tcPr>
          <w:p>
            <w:r>
              <w:t>0</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1.102,3</w:t>
            </w:r>
          </w:p>
        </w:tc>
        <w:tc>
          <w:tcPr>
            <w:tcW w:type="dxa" w:w="1440"/>
            <w:noWrap/>
            <w:shd w:val="clear" w:fill="FFE6E6"/>
          </w:tcPr>
          <w:p>
            <w:pPr>
              <w:jc w:val="left"/>
            </w:pPr>
            <w:r>
              <w:rPr>
                <w:b/>
                <w:color w:val="FF0000"/>
              </w:rPr>
              <w:t>27</w:t>
            </w:r>
          </w:p>
        </w:tc>
        <w:tc>
          <w:tcPr>
            <w:tcW w:type="dxa" w:w="1440"/>
            <w:noWrap/>
            <w:shd w:val="clear" w:fill="FFE6E6"/>
          </w:tcPr>
          <w:p>
            <w:pPr>
              <w:jc w:val="left"/>
            </w:pPr>
            <w:r>
              <w:rPr>
                <w:b/>
                <w:color w:val="FF0000"/>
              </w:rPr>
              <w:t>244,2 m³</w:t>
            </w:r>
          </w:p>
        </w:tc>
        <w:tc>
          <w:tcPr>
            <w:tcW w:type="dxa" w:w="1440"/>
            <w:noWrap/>
            <w:shd w:val="clear" w:fill="FFE6E6"/>
          </w:tcPr>
          <w:p>
            <w:pPr>
              <w:jc w:val="left"/>
            </w:pPr>
            <w:r>
              <w:rPr>
                <w:b/>
                <w:color w:val="FF0000"/>
              </w:rPr>
              <w:t>718,4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ESC. LO VELÁSQUEZ (03-04-26):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17_04.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Esc. Lo Velásquez registró 1 alerta(s) durante 1 día(s) del periodo analizado. La periodicidad de las alertas es puntual (menos del 20% de los días).</w:t>
      </w:r>
    </w:p>
    <w:p/>
    <w:p>
      <w:pPr>
        <w:keepNext/>
        <w:widowControl/>
        <w:spacing w:after="60"/>
      </w:pPr>
      <w:r>
        <w:rPr>
          <w:b/>
          <w:color w:val="003366"/>
        </w:rPr>
        <w:t>DÍA CON MAYOR CONSUMO NOCTURNO - COLEGIO ICCO RENCA (07-04-26):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17_08.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Colegio ICCO Renca registró 26 alerta(s) durante 18 día(s) del periodo analizado. La periodicidad de las alertas es regular (más del 50% de los días). Se identificó una proyección de filtración de 718,4 m³ ($890.851), lo que indica un patrón de fuga constante durante el periodo.</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Colegio ICCO Renca, con un volumen proyectado de 718,4 m³ (75,3%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