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Renca</w:t>
      </w:r>
    </w:p>
    <w:p>
      <w:pPr>
        <w:jc w:val="center"/>
      </w:pPr>
      <w:r>
        <w:t>MONITOREO WES</w:t>
        <w:br/>
        <w:t>Análisis consolidado de 3 puntos de monitoreo</w:t>
        <w:br/>
        <w:t>Rango: 01-04-26 - 30-04-26</w:t>
        <w:br/>
        <w:t>Generado: 06-05-26 20:49</w:t>
      </w:r>
    </w:p>
    <w:p>
      <w:pPr>
        <w:pStyle w:val="Heading1"/>
        <w:keepNext/>
        <w:widowControl/>
        <w:spacing w:after="60"/>
      </w:pPr>
      <w:r>
        <w:rPr>
          <w:b/>
          <w:color w:val="003366"/>
        </w:rPr>
        <w:t>RESUMEN EJECUTIVO AGREGADO</w:t>
      </w:r>
    </w:p>
    <w:p>
      <w:r>
        <w:t>Puntos de monitoreo analizados: 3.</w:t>
        <w:br/>
      </w:r>
      <w:r>
        <w:t>Consumo total agregado: 1.342 m³.</w:t>
        <w:br/>
      </w:r>
      <w:r>
        <w:t>Consumo promedio por punto: 447,3 m³.</w:t>
        <w:br/>
      </w:r>
      <w:r>
        <w:t>Total de alertas registradas: 47.</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Colegio ICCO Renca, con un total de 953,8 m³ durante el periodo analizado. Este valor representa un 113,2% por encima del promedio (447,3 m³ por punto), indicando una demanda significativamente superior a la media. Por otro lado, el punto con menor consumo es Esc. Lo Velásquez, con un total de 148,5 m³. Este valor representa un 66,8% por debajo del promedio, mostrando una demanda significativamente inferior. La diferencia entre el punto de mayor y menor consumo es considerable, siendo el consumo máximo aproximadamente 6,4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85"/>
        <w:gridCol w:w="1084"/>
        <w:gridCol w:w="964"/>
        <w:gridCol w:w="1506"/>
        <w:gridCol w:w="1445"/>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Colegio ICCO Renca</w:t>
            </w:r>
          </w:p>
        </w:tc>
        <w:tc>
          <w:tcPr>
            <w:tcW w:type="dxa" w:w="1440"/>
            <w:noWrap/>
          </w:tcPr>
          <w:p>
            <w:r>
              <w:t>953,8</w:t>
            </w:r>
          </w:p>
        </w:tc>
        <w:tc>
          <w:tcPr>
            <w:tcW w:type="dxa" w:w="1440"/>
            <w:noWrap/>
          </w:tcPr>
          <w:p>
            <w:r>
              <w:t>26</w:t>
            </w:r>
          </w:p>
        </w:tc>
        <w:tc>
          <w:tcPr>
            <w:tcW w:type="dxa" w:w="1440"/>
            <w:noWrap/>
          </w:tcPr>
          <w:p>
            <w:pPr>
              <w:jc w:val="left"/>
            </w:pPr>
            <w:r>
              <w:t>209,5 m³</w:t>
            </w:r>
          </w:p>
          <w:p>
            <w:pPr>
              <w:jc w:val="left"/>
            </w:pPr>
            <w:r>
              <w:t>(26 días, 86,7%)</w:t>
            </w:r>
          </w:p>
        </w:tc>
        <w:tc>
          <w:tcPr>
            <w:tcW w:type="dxa" w:w="1440"/>
            <w:noWrap/>
          </w:tcPr>
          <w:p>
            <w:pPr>
              <w:jc w:val="left"/>
            </w:pPr>
            <w:r>
              <w:t>718,4 m³</w:t>
            </w:r>
          </w:p>
          <w:p>
            <w:pPr>
              <w:jc w:val="left"/>
            </w:pPr>
            <w:r>
              <w:t>(75,3%)</w:t>
            </w:r>
          </w:p>
        </w:tc>
      </w:tr>
      <w:tr>
        <w:tc>
          <w:tcPr>
            <w:tcW w:type="dxa" w:w="1440"/>
            <w:noWrap/>
          </w:tcPr>
          <w:p>
            <w:r>
              <w:t>2</w:t>
            </w:r>
          </w:p>
        </w:tc>
        <w:tc>
          <w:tcPr>
            <w:tcW w:type="dxa" w:w="1440"/>
            <w:noWrap/>
          </w:tcPr>
          <w:p>
            <w:r>
              <w:t>Cumbre de cóndores pte.</w:t>
            </w:r>
          </w:p>
        </w:tc>
        <w:tc>
          <w:tcPr>
            <w:tcW w:type="dxa" w:w="1440"/>
            <w:noWrap/>
          </w:tcPr>
          <w:p>
            <w:r>
              <w:t>239,7</w:t>
            </w:r>
          </w:p>
        </w:tc>
        <w:tc>
          <w:tcPr>
            <w:tcW w:type="dxa" w:w="1440"/>
            <w:noWrap/>
          </w:tcPr>
          <w:p>
            <w:r>
              <w:t>20</w:t>
            </w:r>
          </w:p>
        </w:tc>
        <w:tc>
          <w:tcPr>
            <w:tcW w:type="dxa" w:w="1440"/>
            <w:noWrap/>
          </w:tcPr>
          <w:p>
            <w:pPr>
              <w:jc w:val="left"/>
            </w:pPr>
            <w:r>
              <w:t>44,5 m³</w:t>
            </w:r>
          </w:p>
          <w:p>
            <w:pPr>
              <w:jc w:val="left"/>
            </w:pPr>
            <w:r>
              <w:t>(24 días, 80%)</w:t>
            </w:r>
          </w:p>
        </w:tc>
        <w:tc>
          <w:tcPr>
            <w:tcW w:type="dxa" w:w="1440"/>
            <w:noWrap/>
          </w:tcPr>
          <w:p>
            <w:pPr>
              <w:jc w:val="left"/>
            </w:pPr>
            <w:r>
              <w:t>152,5 m³</w:t>
            </w:r>
          </w:p>
          <w:p>
            <w:pPr>
              <w:jc w:val="left"/>
            </w:pPr>
            <w:r>
              <w:t>(63,6%)</w:t>
            </w:r>
          </w:p>
        </w:tc>
      </w:tr>
      <w:tr>
        <w:tc>
          <w:tcPr>
            <w:tcW w:type="dxa" w:w="1440"/>
            <w:noWrap/>
          </w:tcPr>
          <w:p>
            <w:r>
              <w:t>3</w:t>
            </w:r>
          </w:p>
        </w:tc>
        <w:tc>
          <w:tcPr>
            <w:tcW w:type="dxa" w:w="1440"/>
            <w:noWrap/>
          </w:tcPr>
          <w:p>
            <w:r>
              <w:t>Esc. Lo Velásquez</w:t>
            </w:r>
          </w:p>
        </w:tc>
        <w:tc>
          <w:tcPr>
            <w:tcW w:type="dxa" w:w="1440"/>
            <w:noWrap/>
          </w:tcPr>
          <w:p>
            <w:r>
              <w:t>148,5</w:t>
            </w:r>
          </w:p>
        </w:tc>
        <w:tc>
          <w:tcPr>
            <w:tcW w:type="dxa" w:w="1440"/>
            <w:noWrap/>
          </w:tcPr>
          <w:p>
            <w:r>
              <w:t>1</w:t>
            </w:r>
          </w:p>
        </w:tc>
        <w:tc>
          <w:tcPr>
            <w:tcW w:type="dxa" w:w="1440"/>
            <w:noWrap/>
          </w:tcPr>
          <w:p>
            <w:pPr>
              <w:jc w:val="left"/>
            </w:pPr>
            <w:r>
              <w:t>34,6 m³</w:t>
            </w:r>
          </w:p>
          <w:p>
            <w:pPr>
              <w:jc w:val="left"/>
            </w:pPr>
            <w:r>
              <w:t>(22 días, 73,3%)</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1.342</w:t>
            </w:r>
          </w:p>
        </w:tc>
        <w:tc>
          <w:tcPr>
            <w:tcW w:type="dxa" w:w="1440"/>
            <w:noWrap/>
            <w:shd w:val="clear" w:fill="FFE6E6"/>
          </w:tcPr>
          <w:p>
            <w:pPr>
              <w:jc w:val="left"/>
            </w:pPr>
            <w:r>
              <w:rPr>
                <w:b/>
                <w:color w:val="FF0000"/>
              </w:rPr>
              <w:t>47</w:t>
            </w:r>
          </w:p>
        </w:tc>
        <w:tc>
          <w:tcPr>
            <w:tcW w:type="dxa" w:w="1440"/>
            <w:noWrap/>
            <w:shd w:val="clear" w:fill="FFE6E6"/>
          </w:tcPr>
          <w:p>
            <w:pPr>
              <w:jc w:val="left"/>
            </w:pPr>
            <w:r>
              <w:rPr>
                <w:b/>
                <w:color w:val="FF0000"/>
              </w:rPr>
              <w:t>288,7 m³</w:t>
            </w:r>
          </w:p>
        </w:tc>
        <w:tc>
          <w:tcPr>
            <w:tcW w:type="dxa" w:w="1440"/>
            <w:noWrap/>
            <w:shd w:val="clear" w:fill="FFE6E6"/>
          </w:tcPr>
          <w:p>
            <w:pPr>
              <w:jc w:val="left"/>
            </w:pPr>
            <w:r>
              <w:rPr>
                <w:b/>
                <w:color w:val="FF0000"/>
              </w:rPr>
              <w:t>870,9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ESC. LO VELÁSQUEZ (03-04-26):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7_04.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 Lo Velásquez registró 1 alerta(s) durante 1 día(s) del periodo analizado. La periodicidad de las alertas es puntual (menos del 20% de los días).</w:t>
      </w:r>
    </w:p>
    <w:p/>
    <w:p>
      <w:pPr>
        <w:keepNext/>
        <w:widowControl/>
        <w:spacing w:after="60"/>
      </w:pPr>
      <w:r>
        <w:rPr>
          <w:b/>
          <w:color w:val="003366"/>
        </w:rPr>
        <w:t>DÍA CON MAYOR CONSUMO NOCTURNO - CUMBRE DE CÓNDORES PTE. (20-04-26):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7_07.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Cumbre de cóndores pte. registró 20 alerta(s) durante 18 día(s) del periodo analizado. La periodicidad de las alertas es regular (más del 50% de los días). Se identificó una proyección de filtración de 152,5 m³ ($189.051), lo que indica un patrón de fuga constante durante el periodo.</w:t>
      </w:r>
    </w:p>
    <w:p/>
    <w:p>
      <w:pPr>
        <w:keepNext/>
        <w:widowControl/>
        <w:spacing w:after="60"/>
      </w:pPr>
      <w:r>
        <w:rPr>
          <w:b/>
          <w:color w:val="003366"/>
        </w:rPr>
        <w:t>DÍA CON MAYOR CONSUMO NOCTURNO - COLEGIO ICCO RENCA (07-04-26):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17_08.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Colegio ICCO Renca registró 26 alerta(s) durante 18 día(s) del periodo analizado. La periodicidad de las alertas es regular (más del 50% de los días). Se identificó una proyección de filtración de 718,4 m³ ($890.851),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Colegio ICCO Renca y Cumbre de cóndores pte..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