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Renca</w:t>
      </w:r>
    </w:p>
    <w:p>
      <w:pPr>
        <w:jc w:val="center"/>
      </w:pPr>
      <w:r>
        <w:t>MONITOREO WES</w:t>
        <w:br/>
        <w:t>Análisis consolidado de 2 puntos de monitoreo</w:t>
        <w:br/>
        <w:t>Rango: 01-06-26 - 30-06-26</w:t>
        <w:br/>
        <w:t>Generado: 30-06-26 17:09</w:t>
      </w:r>
    </w:p>
    <w:p>
      <w:pPr>
        <w:pStyle w:val="Heading1"/>
        <w:keepNext/>
        <w:widowControl/>
        <w:spacing w:after="60"/>
      </w:pPr>
      <w:r>
        <w:rPr>
          <w:b/>
          <w:color w:val="003366"/>
        </w:rPr>
        <w:t>RESUMEN EJECUTIVO AGREGADO</w:t>
      </w:r>
    </w:p>
    <w:p>
      <w:r>
        <w:t>Puntos de monitoreo analizados: 2.</w:t>
        <w:br/>
      </w:r>
      <w:r>
        <w:t>Consumo total agregado: 1.190,6 m³.</w:t>
        <w:br/>
      </w:r>
      <w:r>
        <w:t>Consumo promedio por punto: 595,3 m³.</w:t>
        <w:br/>
      </w:r>
      <w:r>
        <w:t>Total de alertas registradas: 37.</w:t>
        <w:br/>
      </w:r>
      <w:r>
        <w:t>Promedio de alerta agregado: 0 m³/h.</w:t>
        <w:br/>
      </w:r>
      <w:r>
        <w:t>Proyección diaria de consumo nocturno agregada: 0,3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Piscina Municipal, con un total de 1.134 m³ durante el periodo analizado. Este valor representa un 90,5% por encima del promedio (595,3 m³ por punto), indicando una demanda significativamente superior a la media. Por otro lado, el punto con menor consumo es Gimnasio, con un total de 56,6 m³. Este valor representa un 90,5% por debajo del promedio, mostrando una demanda significativamente inferior. La diferencia entre el punto de mayor y menor consumo es considerable, siendo el consumo máximo aproximadamente 20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085"/>
        <w:gridCol w:w="1149"/>
        <w:gridCol w:w="1021"/>
        <w:gridCol w:w="1595"/>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Piscina Municipal</w:t>
            </w:r>
          </w:p>
        </w:tc>
        <w:tc>
          <w:tcPr>
            <w:tcW w:type="dxa" w:w="1440"/>
            <w:noWrap/>
          </w:tcPr>
          <w:p>
            <w:r>
              <w:t>1.134</w:t>
            </w:r>
          </w:p>
        </w:tc>
        <w:tc>
          <w:tcPr>
            <w:tcW w:type="dxa" w:w="1440"/>
            <w:noWrap/>
          </w:tcPr>
          <w:p>
            <w:r>
              <w:t>4</w:t>
            </w:r>
          </w:p>
        </w:tc>
        <w:tc>
          <w:tcPr>
            <w:tcW w:type="dxa" w:w="1440"/>
            <w:noWrap/>
          </w:tcPr>
          <w:p>
            <w:pPr>
              <w:jc w:val="left"/>
            </w:pPr>
            <w:r>
              <w:t>292,8 m³</w:t>
            </w:r>
          </w:p>
          <w:p>
            <w:pPr>
              <w:jc w:val="left"/>
            </w:pPr>
            <w:r>
              <w:t>(21 días, 87,5%)</w:t>
            </w:r>
          </w:p>
        </w:tc>
        <w:tc>
          <w:tcPr>
            <w:tcW w:type="dxa" w:w="1440"/>
            <w:noWrap/>
          </w:tcPr>
          <w:p>
            <w:pPr>
              <w:jc w:val="left"/>
            </w:pPr>
            <w:r>
              <w:t>1.003,8 m³</w:t>
            </w:r>
          </w:p>
          <w:p>
            <w:pPr>
              <w:jc w:val="left"/>
            </w:pPr>
            <w:r>
              <w:t>(88,5%)</w:t>
            </w:r>
          </w:p>
        </w:tc>
      </w:tr>
      <w:tr>
        <w:tc>
          <w:tcPr>
            <w:tcW w:type="dxa" w:w="1440"/>
            <w:noWrap/>
          </w:tcPr>
          <w:p>
            <w:r>
              <w:t>2</w:t>
            </w:r>
          </w:p>
        </w:tc>
        <w:tc>
          <w:tcPr>
            <w:tcW w:type="dxa" w:w="1440"/>
            <w:noWrap/>
          </w:tcPr>
          <w:p>
            <w:r>
              <w:t>Gimnasio</w:t>
            </w:r>
          </w:p>
        </w:tc>
        <w:tc>
          <w:tcPr>
            <w:tcW w:type="dxa" w:w="1440"/>
            <w:noWrap/>
          </w:tcPr>
          <w:p>
            <w:r>
              <w:t>56,6</w:t>
            </w:r>
          </w:p>
        </w:tc>
        <w:tc>
          <w:tcPr>
            <w:tcW w:type="dxa" w:w="1440"/>
            <w:noWrap/>
          </w:tcPr>
          <w:p>
            <w:r>
              <w:t>33</w:t>
            </w:r>
          </w:p>
        </w:tc>
        <w:tc>
          <w:tcPr>
            <w:tcW w:type="dxa" w:w="1440"/>
            <w:noWrap/>
          </w:tcPr>
          <w:p>
            <w:pPr>
              <w:jc w:val="left"/>
            </w:pPr>
            <w:r>
              <w:t>8,6 m³</w:t>
            </w:r>
          </w:p>
          <w:p>
            <w:pPr>
              <w:jc w:val="left"/>
            </w:pPr>
            <w:r>
              <w:t>(30 días, 100%)</w:t>
            </w:r>
          </w:p>
        </w:tc>
        <w:tc>
          <w:tcPr>
            <w:tcW w:type="dxa" w:w="1440"/>
            <w:noWrap/>
          </w:tcPr>
          <w:p>
            <w:pPr>
              <w:jc w:val="left"/>
            </w:pPr>
            <w:r>
              <w:t>29,4 m³</w:t>
            </w:r>
          </w:p>
          <w:p>
            <w:pPr>
              <w:jc w:val="left"/>
            </w:pPr>
            <w:r>
              <w:t>(51,8%)</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1.190,6</w:t>
            </w:r>
          </w:p>
        </w:tc>
        <w:tc>
          <w:tcPr>
            <w:tcW w:type="dxa" w:w="1440"/>
            <w:noWrap/>
            <w:shd w:val="clear" w:fill="FFE6E6"/>
          </w:tcPr>
          <w:p>
            <w:pPr>
              <w:jc w:val="left"/>
            </w:pPr>
            <w:r>
              <w:rPr>
                <w:b/>
                <w:color w:val="FF0000"/>
              </w:rPr>
              <w:t>37</w:t>
            </w:r>
          </w:p>
        </w:tc>
        <w:tc>
          <w:tcPr>
            <w:tcW w:type="dxa" w:w="1440"/>
            <w:noWrap/>
            <w:shd w:val="clear" w:fill="FFE6E6"/>
          </w:tcPr>
          <w:p>
            <w:pPr>
              <w:jc w:val="left"/>
            </w:pPr>
            <w:r>
              <w:rPr>
                <w:b/>
                <w:color w:val="FF0000"/>
              </w:rPr>
              <w:t>301,3 m³</w:t>
            </w:r>
          </w:p>
        </w:tc>
        <w:tc>
          <w:tcPr>
            <w:tcW w:type="dxa" w:w="1440"/>
            <w:noWrap/>
            <w:shd w:val="clear" w:fill="FFE6E6"/>
          </w:tcPr>
          <w:p>
            <w:pPr>
              <w:jc w:val="left"/>
            </w:pPr>
            <w:r>
              <w:rPr>
                <w:b/>
                <w:color w:val="FF0000"/>
              </w:rPr>
              <w:t>1.033,2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GIMNASIO (05-06-26):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7_05.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Gimnasio registró 33 alerta(s) durante 23 día(s) del periodo analizado. La periodicidad de las alertas es regular (más del 50% de los días). Se identificó una proyección de filtración de 29,4 m³ ($36.395), lo que indica un patrón de fuga constante durante el periodo.</w:t>
      </w:r>
    </w:p>
    <w:p/>
    <w:p>
      <w:pPr>
        <w:keepNext/>
        <w:widowControl/>
        <w:spacing w:after="60"/>
      </w:pPr>
      <w:r>
        <w:rPr>
          <w:b/>
          <w:color w:val="003366"/>
        </w:rPr>
        <w:t>DÍA CON MAYOR CONSUMO NOCTURNO - PISCINA MUNICIPAL (25-06-26):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7_06.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Piscina Municipal registró 4 alerta(s) durante 3 día(s) del periodo analizado. La periodicidad de las alertas es puntual (menos del 20% de los días). Se identificó una proyección de filtración de 1.003,8 m³ ($1.244.771),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Piscina Municipal y Gimnasio.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