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Renca</w:t>
      </w:r>
    </w:p>
    <w:p>
      <w:pPr>
        <w:jc w:val="center"/>
      </w:pPr>
      <w:r>
        <w:t>MONITOREO WES</w:t>
        <w:br/>
        <w:t>Análisis consolidado de 5 puntos de monitoreo</w:t>
        <w:br/>
        <w:t>Rango: 01-07-26 - 30-07-26</w:t>
        <w:br/>
        <w:t>Generado: 30-07-26</w:t>
      </w:r>
    </w:p>
    <w:p>
      <w:pPr>
        <w:pStyle w:val="Heading1"/>
        <w:keepNext/>
        <w:widowControl/>
        <w:spacing w:after="60"/>
      </w:pPr>
      <w:r>
        <w:rPr>
          <w:b/>
          <w:color w:val="003366"/>
        </w:rPr>
        <w:t>RESUMEN EJECUTIVO AGREGADO</w:t>
      </w:r>
    </w:p>
    <w:p>
      <w:r>
        <w:t>Puntos de monitoreo analizados: 5.</w:t>
        <w:br/>
      </w:r>
      <w:r>
        <w:t>Consumo total agregado: 2.619,4 m³.</w:t>
        <w:br/>
      </w:r>
      <w:r>
        <w:t>Consumo promedio por punto: 523,9 m³.</w:t>
        <w:br/>
      </w:r>
      <w:r>
        <w:t>Total de alertas registradas: 66.</w:t>
        <w:br/>
      </w:r>
      <w:r>
        <w:t>Promedio de alerta agregado: 1,7 m³/h.</w:t>
        <w:br/>
      </w:r>
      <w:r>
        <w:t>Proyección diaria de consumo nocturno agregada: 40,8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Colegio ICCO Renca, con un total de 1.156,8 m³ durante el periodo analizado. Este valor representa un 120,8% por encima del promedio (523,9 m³ por punto), indicando una demanda significativamente superior a la media. Por otro lado, el punto con menor consumo es Esc. Lo Velásquez, con un total de 99,1 m³. Este valor representa un 81,1% por debajo del promedio, mostrando una demanda significativamente inferior. La diferencia entre el punto de mayor y menor consumo es considerable, siendo el consumo máximo aproximadamente 11,7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412"/>
        <w:gridCol w:w="1105"/>
        <w:gridCol w:w="982"/>
        <w:gridCol w:w="1412"/>
        <w:gridCol w:w="1473"/>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Colegio ICCO Renca</w:t>
            </w:r>
          </w:p>
        </w:tc>
        <w:tc>
          <w:tcPr>
            <w:tcW w:type="dxa" w:w="1440"/>
            <w:noWrap/>
          </w:tcPr>
          <w:p>
            <w:r>
              <w:t>1.156,8</w:t>
            </w:r>
          </w:p>
        </w:tc>
        <w:tc>
          <w:tcPr>
            <w:tcW w:type="dxa" w:w="1440"/>
            <w:noWrap/>
          </w:tcPr>
          <w:p>
            <w:r>
              <w:t>20</w:t>
            </w:r>
          </w:p>
        </w:tc>
        <w:tc>
          <w:tcPr>
            <w:tcW w:type="dxa" w:w="1440"/>
            <w:noWrap/>
          </w:tcPr>
          <w:p>
            <w:pPr>
              <w:jc w:val="left"/>
            </w:pPr>
            <w:r>
              <w:t>86 m³</w:t>
            </w:r>
          </w:p>
          <w:p>
            <w:pPr>
              <w:jc w:val="left"/>
            </w:pPr>
            <w:r>
              <w:t>(20 días, 66,7%)</w:t>
            </w:r>
          </w:p>
        </w:tc>
        <w:tc>
          <w:tcPr>
            <w:tcW w:type="dxa" w:w="1440"/>
            <w:noWrap/>
          </w:tcPr>
          <w:p>
            <w:pPr>
              <w:jc w:val="left"/>
            </w:pPr>
            <w:r>
              <w:t>0,0 m³</w:t>
            </w:r>
          </w:p>
          <w:p>
            <w:pPr>
              <w:jc w:val="left"/>
            </w:pPr>
            <w:r>
              <w:t>(0,0%)</w:t>
            </w:r>
          </w:p>
        </w:tc>
      </w:tr>
      <w:tr>
        <w:tc>
          <w:tcPr>
            <w:tcW w:type="dxa" w:w="1440"/>
            <w:noWrap/>
          </w:tcPr>
          <w:p>
            <w:r>
              <w:t>2</w:t>
            </w:r>
          </w:p>
        </w:tc>
        <w:tc>
          <w:tcPr>
            <w:tcW w:type="dxa" w:w="1440"/>
            <w:noWrap/>
          </w:tcPr>
          <w:p>
            <w:r>
              <w:t>Piscina Municipal</w:t>
            </w:r>
          </w:p>
        </w:tc>
        <w:tc>
          <w:tcPr>
            <w:tcW w:type="dxa" w:w="1440"/>
            <w:noWrap/>
          </w:tcPr>
          <w:p>
            <w:r>
              <w:t>797,1</w:t>
            </w:r>
          </w:p>
        </w:tc>
        <w:tc>
          <w:tcPr>
            <w:tcW w:type="dxa" w:w="1440"/>
            <w:noWrap/>
          </w:tcPr>
          <w:p>
            <w:r>
              <w:t>14</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3</w:t>
            </w:r>
          </w:p>
        </w:tc>
        <w:tc>
          <w:tcPr>
            <w:tcW w:type="dxa" w:w="1440"/>
            <w:noWrap/>
          </w:tcPr>
          <w:p>
            <w:r>
              <w:t>Cumbre de cóndores pte.</w:t>
            </w:r>
          </w:p>
        </w:tc>
        <w:tc>
          <w:tcPr>
            <w:tcW w:type="dxa" w:w="1440"/>
            <w:noWrap/>
          </w:tcPr>
          <w:p>
            <w:r>
              <w:t>293,5</w:t>
            </w:r>
          </w:p>
        </w:tc>
        <w:tc>
          <w:tcPr>
            <w:tcW w:type="dxa" w:w="1440"/>
            <w:noWrap/>
          </w:tcPr>
          <w:p>
            <w:r>
              <w:t>13</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4</w:t>
            </w:r>
          </w:p>
        </w:tc>
        <w:tc>
          <w:tcPr>
            <w:tcW w:type="dxa" w:w="1440"/>
            <w:noWrap/>
          </w:tcPr>
          <w:p>
            <w:r>
              <w:t>Gimnasio</w:t>
            </w:r>
          </w:p>
        </w:tc>
        <w:tc>
          <w:tcPr>
            <w:tcW w:type="dxa" w:w="1440"/>
            <w:noWrap/>
          </w:tcPr>
          <w:p>
            <w:r>
              <w:t>272,9</w:t>
            </w:r>
          </w:p>
        </w:tc>
        <w:tc>
          <w:tcPr>
            <w:tcW w:type="dxa" w:w="1440"/>
            <w:noWrap/>
          </w:tcPr>
          <w:p>
            <w:r>
              <w:t>18</w:t>
            </w:r>
          </w:p>
        </w:tc>
        <w:tc>
          <w:tcPr>
            <w:tcW w:type="dxa" w:w="1440"/>
            <w:noWrap/>
          </w:tcPr>
          <w:p>
            <w:pPr>
              <w:jc w:val="left"/>
            </w:pPr>
            <w:r>
              <w:t>74,8 m³</w:t>
            </w:r>
          </w:p>
          <w:p>
            <w:pPr>
              <w:jc w:val="left"/>
            </w:pPr>
            <w:r>
              <w:t>(30 días, 100%)</w:t>
            </w:r>
          </w:p>
        </w:tc>
        <w:tc>
          <w:tcPr>
            <w:tcW w:type="dxa" w:w="1440"/>
            <w:noWrap/>
          </w:tcPr>
          <w:p>
            <w:pPr>
              <w:jc w:val="left"/>
            </w:pPr>
            <w:r>
              <w:t>256,6 m³</w:t>
            </w:r>
          </w:p>
          <w:p>
            <w:pPr>
              <w:jc w:val="left"/>
            </w:pPr>
            <w:r>
              <w:t>(94%)</w:t>
            </w:r>
          </w:p>
        </w:tc>
      </w:tr>
      <w:tr>
        <w:tc>
          <w:tcPr>
            <w:tcW w:type="dxa" w:w="1440"/>
            <w:noWrap/>
          </w:tcPr>
          <w:p>
            <w:r>
              <w:t>5</w:t>
            </w:r>
          </w:p>
        </w:tc>
        <w:tc>
          <w:tcPr>
            <w:tcW w:type="dxa" w:w="1440"/>
            <w:noWrap/>
          </w:tcPr>
          <w:p>
            <w:r>
              <w:t>Esc. Lo Velásquez</w:t>
            </w:r>
          </w:p>
        </w:tc>
        <w:tc>
          <w:tcPr>
            <w:tcW w:type="dxa" w:w="1440"/>
            <w:noWrap/>
          </w:tcPr>
          <w:p>
            <w:r>
              <w:t>99,1</w:t>
            </w:r>
          </w:p>
        </w:tc>
        <w:tc>
          <w:tcPr>
            <w:tcW w:type="dxa" w:w="1440"/>
            <w:noWrap/>
          </w:tcPr>
          <w:p>
            <w:r>
              <w:t>1</w:t>
            </w:r>
          </w:p>
        </w:tc>
        <w:tc>
          <w:tcPr>
            <w:tcW w:type="dxa" w:w="1440"/>
            <w:noWrap/>
          </w:tcPr>
          <w:p>
            <w:pPr>
              <w:jc w:val="left"/>
            </w:pPr>
            <w:r>
              <w:t>8,3 m³</w:t>
            </w:r>
          </w:p>
          <w:p>
            <w:pPr>
              <w:jc w:val="left"/>
            </w:pPr>
            <w:r>
              <w:t>(2 días, 6,7%)</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2.619,4</w:t>
            </w:r>
          </w:p>
        </w:tc>
        <w:tc>
          <w:tcPr>
            <w:tcW w:type="dxa" w:w="1440"/>
            <w:noWrap/>
            <w:shd w:val="clear" w:fill="FFE6E6"/>
          </w:tcPr>
          <w:p>
            <w:pPr>
              <w:jc w:val="left"/>
            </w:pPr>
            <w:r>
              <w:rPr>
                <w:b/>
                <w:color w:val="FF0000"/>
              </w:rPr>
              <w:t>66</w:t>
            </w:r>
          </w:p>
        </w:tc>
        <w:tc>
          <w:tcPr>
            <w:tcW w:type="dxa" w:w="1440"/>
            <w:noWrap/>
            <w:shd w:val="clear" w:fill="FFE6E6"/>
          </w:tcPr>
          <w:p>
            <w:pPr>
              <w:jc w:val="left"/>
            </w:pPr>
            <w:r>
              <w:rPr>
                <w:b/>
                <w:color w:val="FF0000"/>
              </w:rPr>
              <w:t>169,2 m³</w:t>
            </w:r>
          </w:p>
        </w:tc>
        <w:tc>
          <w:tcPr>
            <w:tcW w:type="dxa" w:w="1440"/>
            <w:noWrap/>
            <w:shd w:val="clear" w:fill="FFE6E6"/>
          </w:tcPr>
          <w:p>
            <w:pPr>
              <w:jc w:val="left"/>
            </w:pPr>
            <w:r>
              <w:rPr>
                <w:b/>
                <w:color w:val="FF0000"/>
              </w:rPr>
              <w:t>256,6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ESC. LO VELÁSQUEZ (07-07-26):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17_04.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Esc. Lo Velásquez registró 1 alerta(s) durante 1 día(s) del periodo analizado. La periodicidad de las alertas es puntual (menos del 20% de los días).</w:t>
      </w:r>
    </w:p>
    <w:p/>
    <w:p>
      <w:pPr>
        <w:keepNext/>
        <w:widowControl/>
        <w:spacing w:after="60"/>
      </w:pPr>
      <w:r>
        <w:rPr>
          <w:b/>
          <w:color w:val="003366"/>
        </w:rPr>
        <w:t>DÍA CON MAYOR CONSUMO NOCTURNO - GIMNASIO (18-07-26):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17_05.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Gimnasio registró 18 alerta(s) durante 16 día(s) del periodo analizado. La periodicidad de las alertas es regular (más del 50% de los días). Se identificó una proyección de filtración de 256,6 m³ ($318.134), lo que indica un patrón de fuga constante durante el periodo.</w:t>
      </w:r>
    </w:p>
    <w:p/>
    <w:p>
      <w:pPr>
        <w:keepNext/>
        <w:widowControl/>
        <w:spacing w:after="60"/>
      </w:pPr>
      <w:r>
        <w:rPr>
          <w:b/>
          <w:color w:val="003366"/>
        </w:rPr>
        <w:t>DÍA CON MAYOR CONSUMO NOCTURNO - COLEGIO ICCO RENCA (30-07-26):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17_08.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Colegio ICCO Renca registró 20 alerta(s) durante 18 día(s) del periodo analizado. La periodicidad de las alertas es regular (más del 50%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6" name="Picture 6"/>
            <wp:cNvGraphicFramePr>
              <a:graphicFrameLocks noChangeAspect="1"/>
            </wp:cNvGraphicFramePr>
            <a:graphic>
              <a:graphicData uri="http://schemas.openxmlformats.org/drawingml/2006/picture">
                <pic:pic>
                  <pic:nvPicPr>
                    <pic:cNvPr id="0" name="chart_comparacion_mensual_agregada.png"/>
                    <pic:cNvPicPr/>
                  </pic:nvPicPr>
                  <pic:blipFill>
                    <a:blip r:embed="rId15"/>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Gimnasio, con un volumen proyectado de 256,6 m³ (94%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