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788"/>
        </w:rPr>
        <w:t>Comparación App WES vs Facturaciones Aguas Andinas</w:t>
      </w:r>
    </w:p>
    <w:p>
      <w:r>
        <w:rPr>
          <w:b/>
        </w:rPr>
        <w:t xml:space="preserve">Empresa: </w:t>
      </w:r>
      <w:r>
        <w:t>Renca</w:t>
      </w:r>
    </w:p>
    <w:p>
      <w:r>
        <w:rPr>
          <w:b/>
        </w:rPr>
        <w:t xml:space="preserve">Nodo: </w:t>
      </w:r>
      <w:r>
        <w:t>000017-05 — Gimnasio municipal (000017-05)</w:t>
      </w:r>
    </w:p>
    <w:p>
      <w:r>
        <w:rPr>
          <w:b/>
        </w:rPr>
        <w:t xml:space="preserve">Fuente facturas: </w:t>
      </w:r>
      <w:r>
        <w:t>C:\Users\aniba\OneDrive\Desktop\wes-scripts\reports\Renca\Coparacion App con Aguas Andinas\Gimnasio Facturaciones</w:t>
      </w:r>
    </w:p>
    <w:p>
      <w:r>
        <w:rPr>
          <w:b/>
        </w:rPr>
        <w:t xml:space="preserve">Generado: </w:t>
      </w:r>
      <w:r>
        <w:t>13-05-2026 21:36</w:t>
      </w:r>
    </w:p>
    <w:p/>
    <w:p>
      <w:pPr>
        <w:pStyle w:val="Heading1"/>
      </w:pPr>
      <w:r>
        <w:t>1. Alcance y criterio de comparación</w:t>
      </w:r>
    </w:p>
    <w:p>
      <w:r>
        <w:t>Para cada boleta, se compara el consumo total facturado (m³) con el consumo total registrado por WES en el nodo indicado, para el período entre «Lectura anterior» y «Lectura actual» informados en la factura. Las diferencias pueden explicarse por alcances hidráulicos distintos (medidor principal vs subred), pérdidas/derivaciones no medidas por el punto, y diferencias de sincronización/calendario del período.</w:t>
      </w:r>
    </w:p>
    <w:p>
      <w:r>
        <w:t>En el Gimnasio municipal (nodo 000017-05) es frecuente que el consumo facturado por Aguas Andinas no coincida de forma directa con el volumen que muestra la app WES. La explicación principal es de alcance de medición: el medidor asociado a la cuenta de Aguas Andinas suele alimentar redes o grupos colectivos (otros usuarios o tramos de red compartida) antes de que el agua llegue al edificio o sector donde está instalado el punto monitoreado por WES. Por tanto, la facturación puede reflejar un caudal acumulado o repartido de forma distinta al flujo que atraviesa el ámbito del sensor en el gimnasio; ello se traduce en diferencias de m³ y en desfases temporales, sin que por sí solo implique error en la boleta ni falla del equipo WES en su propia zona de medición. Los consumos de cuenta se obtienen de boletas electrónicas o del historial de consumo en PDF (incluido OCR si el archivo es escaneado), o de un CSV manual en la carpeta de facturas cuando el PDF no es parseable. Para la evaluación con sentido operacional se considera el monitoreo de referencia a partir del 06-06-2025. Existe un período de transición (11-dic-2025 a 08-ene-2026) donde se observan ajustes y estabilización en el calendario de facturación; desde el fin de esa transición en adelante, la comparación se lee como referencia principal (aun así, pueden existir diferencias por el alcance hidráulico descrito). Si se dispone del Excel comparativo exportado para este sitio, las cifras del informe pueden tomarse de esa hoja para homogeneizar números con operaciones.</w:t>
      </w:r>
    </w:p>
    <w:p>
      <w:r>
        <w:t>Las tablas, gráficos por período y el total acumulado de la sección 2 incluyen únicamente boletas cuya «Lectura anterior» y «Lectura actual» son el 06-06-2025 o posteriores. En ciclos anteriores o con alguna lectura previa a esa fecha, la cuenta suele reflejar liquidación por promedio estimado u homologación sin contraste de punta a punta con el punto WES en ese tramo.</w:t>
      </w:r>
    </w:p>
    <w:p>
      <w:pPr>
        <w:pStyle w:val="Heading2"/>
      </w:pPr>
      <w:r>
        <w:t>1.1 Boletas fuera del cuadro comparativo (lecturas anteriores al 06-06-2025)</w:t>
      </w:r>
    </w:p>
    <w:p>
      <w:r>
        <w:t>Las siguientes boletas no entran en las tablas 2 ni en los gráficos ni en el total acumulado; suelen corresponder a promedio estimado o períodos no homologables con el monitoreo WES en el tramo indicado.</w:t>
      </w:r>
    </w:p>
    <w:p>
      <w:pPr>
        <w:pStyle w:val="ListBullet"/>
      </w:pPr>
      <w:r>
        <w:t>N° HIST-20241126 — 25-oct-2024 → 26-nov-2024 (m³ facturados en boleta: 550)</w:t>
      </w:r>
    </w:p>
    <w:p>
      <w:pPr>
        <w:pStyle w:val="ListBullet"/>
      </w:pPr>
      <w:r>
        <w:t>N° HIST-20241227 — 26-nov-2024 → 27-dic-2024 (m³ facturados en boleta: 687)</w:t>
      </w:r>
    </w:p>
    <w:p>
      <w:pPr>
        <w:pStyle w:val="ListBullet"/>
      </w:pPr>
      <w:r>
        <w:t>N° HIST-20250127 — 27-dic-2024 → 27-ene-2025 (m³ facturados en boleta: 549)</w:t>
      </w:r>
    </w:p>
    <w:p>
      <w:pPr>
        <w:pStyle w:val="ListBullet"/>
      </w:pPr>
      <w:r>
        <w:t>N° HIST-20250225 — 27-ene-2025 → 25-feb-2025 (m³ facturados en boleta: 588)</w:t>
      </w:r>
    </w:p>
    <w:p>
      <w:pPr>
        <w:pStyle w:val="ListBullet"/>
      </w:pPr>
      <w:r>
        <w:t>N° HIST-20250327 — 25-feb-2025 → 27-mar-2025 (m³ facturados en boleta: 588)</w:t>
      </w:r>
    </w:p>
    <w:p>
      <w:pPr>
        <w:pStyle w:val="ListBullet"/>
      </w:pPr>
      <w:r>
        <w:t>N° HIST-20250426 — 27-mar-2025 → 26-abr-2025 (m³ facturados en boleta: 607)</w:t>
      </w:r>
    </w:p>
    <w:p>
      <w:pPr>
        <w:pStyle w:val="ListBullet"/>
      </w:pPr>
      <w:r>
        <w:t>N° HIST-20250527 — 26-abr-2025 → 27-may-2025 (m³ facturados en boleta: 381)</w:t>
      </w:r>
    </w:p>
    <w:p>
      <w:pPr>
        <w:pStyle w:val="ListBullet"/>
      </w:pPr>
      <w:r>
        <w:t>N° HIST-20250627 — 27-may-2025 → 27-jun-2025 (m³ facturados en boleta: 282)</w:t>
      </w:r>
    </w:p>
    <w:p>
      <w:pPr>
        <w:pStyle w:val="Heading1"/>
      </w:pPr>
      <w:r>
        <w:t>2. Resumen por período de factura (lecturas ≥ 06-06-2025)</w:t>
      </w:r>
    </w:p>
    <w:p>
      <w:pPr>
        <w:keepNext/>
      </w:pPr>
      <w:r>
        <w:t>Tabla A — Períodos con lectura final anterior al 11-dic-2025 (calendario de facturación), solo lecturas ≥ 06-06-2025: etapa previa a la ventana de transición; interpretar con cuidado si hubo arranque de monitoreo o lecturas estimadas. El alcance del medidor de cuenta puede incluir consumo de tramos compartidos antes del edificio del gimnasio (véase apartado 1).</w:t>
      </w:r>
    </w:p>
    <w:p>
      <w:pPr>
        <w:keepNext/>
      </w:pPr>
      <w:r>
        <w:rPr>
          <w:b/>
        </w:rPr>
        <w:t>Períodos pre-transición (lectura final antes del 11-dic-2025)</w:t>
      </w:r>
    </w:p>
    <w:tbl>
      <w:tblPr>
        <w:tblStyle w:val="TableGrid"/>
        <w:jc w:val="center"/>
        <w:tblLook w:firstColumn="1" w:firstRow="1" w:lastColumn="0" w:lastRow="0" w:noHBand="0" w:noVBand="1" w:val="04A0"/>
        <w:tblW w:w="5000" w:type="pct"/>
        <w:tblLayout w:type="fixed"/>
      </w:tblPr>
      <w:tblGrid>
        <w:gridCol w:w="960"/>
        <w:gridCol w:w="960"/>
        <w:gridCol w:w="960"/>
        <w:gridCol w:w="960"/>
        <w:gridCol w:w="960"/>
        <w:gridCol w:w="960"/>
        <w:gridCol w:w="960"/>
        <w:gridCol w:w="960"/>
        <w:gridCol w:w="960"/>
      </w:tblGrid>
      <w:tr>
        <w:trPr>
          <w:tblHeader w:val="true"/>
        </w:trPr>
        <w:tc>
          <w:tcPr>
            <w:tcW w:type="dxa" w:w="960"/>
          </w:tcPr>
          <w:p>
            <w:pPr>
              <w:spacing w:before="0" w:after="0"/>
            </w:pPr>
            <w:r>
              <w:rPr>
                <w:b/>
                <w:sz w:val="18"/>
              </w:rPr>
              <w:t>Período (lecturas)</w:t>
            </w:r>
          </w:p>
        </w:tc>
        <w:tc>
          <w:tcPr>
            <w:tcW w:type="dxa" w:w="960"/>
          </w:tcPr>
          <w:p>
            <w:pPr>
              <w:spacing w:before="0" w:after="0"/>
            </w:pPr>
            <w:r>
              <w:rPr>
                <w:b/>
                <w:sz w:val="18"/>
              </w:rPr>
              <w:t>Emisión</w:t>
            </w:r>
          </w:p>
        </w:tc>
        <w:tc>
          <w:tcPr>
            <w:tcW w:type="dxa" w:w="960"/>
          </w:tcPr>
          <w:p>
            <w:pPr>
              <w:spacing w:before="0" w:after="0"/>
            </w:pPr>
            <w:r>
              <w:rPr>
                <w:b/>
                <w:sz w:val="18"/>
              </w:rPr>
              <w:t>N° factura</w:t>
            </w:r>
          </w:p>
        </w:tc>
        <w:tc>
          <w:tcPr>
            <w:tcW w:type="dxa" w:w="960"/>
          </w:tcPr>
          <w:p>
            <w:pPr>
              <w:spacing w:before="0" w:after="0"/>
            </w:pPr>
            <w:r>
              <w:rPr>
                <w:b/>
                <w:sz w:val="18"/>
              </w:rPr>
              <w:t>Medidor</w:t>
            </w:r>
          </w:p>
        </w:tc>
        <w:tc>
          <w:tcPr>
            <w:tcW w:type="dxa" w:w="960"/>
          </w:tcPr>
          <w:p>
            <w:pPr>
              <w:spacing w:before="0" w:after="0"/>
            </w:pPr>
            <w:r>
              <w:rPr>
                <w:b/>
                <w:sz w:val="18"/>
              </w:rPr>
              <w:t>m³ facturado</w:t>
            </w:r>
          </w:p>
        </w:tc>
        <w:tc>
          <w:tcPr>
            <w:tcW w:type="dxa" w:w="960"/>
          </w:tcPr>
          <w:p>
            <w:pPr>
              <w:spacing w:before="0" w:after="0"/>
            </w:pPr>
            <w:r>
              <w:rPr>
                <w:b/>
                <w:sz w:val="18"/>
              </w:rPr>
              <w:t>m³ App (WES)</w:t>
            </w:r>
          </w:p>
        </w:tc>
        <w:tc>
          <w:tcPr>
            <w:tcW w:type="dxa" w:w="960"/>
          </w:tcPr>
          <w:p>
            <w:pPr>
              <w:spacing w:before="0" w:after="0"/>
            </w:pPr>
            <w:r>
              <w:rPr>
                <w:b/>
                <w:sz w:val="18"/>
              </w:rPr>
              <w:t>Días (WES)</w:t>
            </w:r>
          </w:p>
        </w:tc>
        <w:tc>
          <w:tcPr>
            <w:tcW w:type="dxa" w:w="960"/>
          </w:tcPr>
          <w:p>
            <w:pPr>
              <w:spacing w:before="0" w:after="0"/>
            </w:pPr>
            <w:r>
              <w:rPr>
                <w:b/>
                <w:sz w:val="18"/>
              </w:rPr>
              <w:t>Dif (fact - WES)</w:t>
            </w:r>
          </w:p>
        </w:tc>
        <w:tc>
          <w:tcPr>
            <w:tcW w:type="dxa" w:w="960"/>
          </w:tcPr>
          <w:p>
            <w:pPr>
              <w:spacing w:before="0" w:after="0"/>
            </w:pPr>
            <w:r>
              <w:rPr>
                <w:b/>
                <w:sz w:val="18"/>
              </w:rPr>
              <w:t>% Dif vs Fact</w:t>
            </w:r>
          </w:p>
        </w:tc>
      </w:tr>
      <w:tr>
        <w:tc>
          <w:tcPr>
            <w:tcW w:type="dxa" w:w="960"/>
          </w:tcPr>
          <w:p>
            <w:pPr>
              <w:spacing w:before="0" w:after="0"/>
            </w:pPr>
            <w:r>
              <w:rPr>
                <w:sz w:val="18"/>
              </w:rPr>
              <w:t>27-jun-2025 → 28-jul-2025</w:t>
            </w:r>
          </w:p>
        </w:tc>
        <w:tc>
          <w:tcPr>
            <w:tcW w:type="dxa" w:w="960"/>
          </w:tcPr>
          <w:p>
            <w:pPr>
              <w:spacing w:before="0" w:after="0"/>
            </w:pPr>
            <w:r>
              <w:rPr>
                <w:sz w:val="18"/>
              </w:rPr>
              <w:t>11-jul-2025</w:t>
            </w:r>
          </w:p>
        </w:tc>
        <w:tc>
          <w:tcPr>
            <w:tcW w:type="dxa" w:w="960"/>
          </w:tcPr>
          <w:p>
            <w:pPr>
              <w:spacing w:before="0" w:after="0"/>
            </w:pPr>
            <w:r>
              <w:rPr>
                <w:sz w:val="18"/>
              </w:rPr>
              <w:t>HIST-20250728</w:t>
            </w:r>
          </w:p>
        </w:tc>
        <w:tc>
          <w:tcPr>
            <w:tcW w:type="dxa" w:w="960"/>
          </w:tcPr>
          <w:p>
            <w:pPr>
              <w:spacing w:before="0" w:after="0"/>
            </w:pPr>
            <w:r>
              <w:rPr>
                <w:sz w:val="18"/>
              </w:rPr>
              <w:t>-</w:t>
            </w:r>
          </w:p>
        </w:tc>
        <w:tc>
          <w:tcPr>
            <w:tcW w:type="dxa" w:w="960"/>
          </w:tcPr>
          <w:p>
            <w:pPr>
              <w:spacing w:before="0" w:after="0"/>
            </w:pPr>
            <w:r>
              <w:rPr>
                <w:sz w:val="18"/>
              </w:rPr>
              <w:t>282</w:t>
            </w:r>
          </w:p>
        </w:tc>
        <w:tc>
          <w:tcPr>
            <w:tcW w:type="dxa" w:w="960"/>
          </w:tcPr>
          <w:p>
            <w:pPr>
              <w:spacing w:before="0" w:after="0"/>
            </w:pPr>
            <w:r>
              <w:rPr>
                <w:sz w:val="18"/>
              </w:rPr>
              <w:t>613,9</w:t>
            </w:r>
          </w:p>
        </w:tc>
        <w:tc>
          <w:tcPr>
            <w:tcW w:type="dxa" w:w="960"/>
          </w:tcPr>
          <w:p>
            <w:pPr>
              <w:spacing w:before="0" w:after="0"/>
            </w:pPr>
            <w:r>
              <w:rPr>
                <w:sz w:val="18"/>
              </w:rPr>
              <w:t>32</w:t>
            </w:r>
          </w:p>
        </w:tc>
        <w:tc>
          <w:tcPr>
            <w:tcW w:type="dxa" w:w="960"/>
          </w:tcPr>
          <w:p>
            <w:pPr>
              <w:spacing w:before="0" w:after="0"/>
            </w:pPr>
            <w:r>
              <w:rPr>
                <w:sz w:val="18"/>
              </w:rPr>
              <w:t>-331,9</w:t>
            </w:r>
          </w:p>
        </w:tc>
        <w:tc>
          <w:tcPr>
            <w:tcW w:type="dxa" w:w="960"/>
          </w:tcPr>
          <w:p>
            <w:pPr>
              <w:spacing w:before="0" w:after="0"/>
            </w:pPr>
            <w:r>
              <w:rPr>
                <w:sz w:val="18"/>
              </w:rPr>
              <w:t>-117,7%</w:t>
            </w:r>
          </w:p>
        </w:tc>
      </w:tr>
      <w:tr>
        <w:tc>
          <w:tcPr>
            <w:tcW w:type="dxa" w:w="960"/>
          </w:tcPr>
          <w:p>
            <w:pPr>
              <w:spacing w:before="0" w:after="0"/>
            </w:pPr>
            <w:r>
              <w:rPr>
                <w:sz w:val="18"/>
              </w:rPr>
              <w:t>28-jul-2025 → 27-ago-2025</w:t>
            </w:r>
          </w:p>
        </w:tc>
        <w:tc>
          <w:tcPr>
            <w:tcW w:type="dxa" w:w="960"/>
          </w:tcPr>
          <w:p>
            <w:pPr>
              <w:spacing w:before="0" w:after="0"/>
            </w:pPr>
            <w:r>
              <w:rPr>
                <w:sz w:val="18"/>
              </w:rPr>
              <w:t>12-ago-2025</w:t>
            </w:r>
          </w:p>
        </w:tc>
        <w:tc>
          <w:tcPr>
            <w:tcW w:type="dxa" w:w="960"/>
          </w:tcPr>
          <w:p>
            <w:pPr>
              <w:spacing w:before="0" w:after="0"/>
            </w:pPr>
            <w:r>
              <w:rPr>
                <w:sz w:val="18"/>
              </w:rPr>
              <w:t>HIST-20250827</w:t>
            </w:r>
          </w:p>
        </w:tc>
        <w:tc>
          <w:tcPr>
            <w:tcW w:type="dxa" w:w="960"/>
          </w:tcPr>
          <w:p>
            <w:pPr>
              <w:spacing w:before="0" w:after="0"/>
            </w:pPr>
            <w:r>
              <w:rPr>
                <w:sz w:val="18"/>
              </w:rPr>
              <w:t>-</w:t>
            </w:r>
          </w:p>
        </w:tc>
        <w:tc>
          <w:tcPr>
            <w:tcW w:type="dxa" w:w="960"/>
          </w:tcPr>
          <w:p>
            <w:pPr>
              <w:spacing w:before="0" w:after="0"/>
            </w:pPr>
            <w:r>
              <w:rPr>
                <w:sz w:val="18"/>
              </w:rPr>
              <w:t>354</w:t>
            </w:r>
          </w:p>
        </w:tc>
        <w:tc>
          <w:tcPr>
            <w:tcW w:type="dxa" w:w="960"/>
          </w:tcPr>
          <w:p>
            <w:pPr>
              <w:spacing w:before="0" w:after="0"/>
            </w:pPr>
            <w:r>
              <w:rPr>
                <w:sz w:val="18"/>
              </w:rPr>
              <w:t>387,4</w:t>
            </w:r>
          </w:p>
        </w:tc>
        <w:tc>
          <w:tcPr>
            <w:tcW w:type="dxa" w:w="960"/>
          </w:tcPr>
          <w:p>
            <w:pPr>
              <w:spacing w:before="0" w:after="0"/>
            </w:pPr>
            <w:r>
              <w:rPr>
                <w:sz w:val="18"/>
              </w:rPr>
              <w:t>31</w:t>
            </w:r>
          </w:p>
        </w:tc>
        <w:tc>
          <w:tcPr>
            <w:tcW w:type="dxa" w:w="960"/>
          </w:tcPr>
          <w:p>
            <w:pPr>
              <w:spacing w:before="0" w:after="0"/>
            </w:pPr>
            <w:r>
              <w:rPr>
                <w:sz w:val="18"/>
              </w:rPr>
              <w:t>-33,4</w:t>
            </w:r>
          </w:p>
        </w:tc>
        <w:tc>
          <w:tcPr>
            <w:tcW w:type="dxa" w:w="960"/>
          </w:tcPr>
          <w:p>
            <w:pPr>
              <w:spacing w:before="0" w:after="0"/>
            </w:pPr>
            <w:r>
              <w:rPr>
                <w:sz w:val="18"/>
              </w:rPr>
              <w:t>-9,4%</w:t>
            </w:r>
          </w:p>
        </w:tc>
      </w:tr>
      <w:tr>
        <w:tc>
          <w:tcPr>
            <w:tcW w:type="dxa" w:w="960"/>
          </w:tcPr>
          <w:p>
            <w:pPr>
              <w:spacing w:before="0" w:after="0"/>
            </w:pPr>
            <w:r>
              <w:rPr>
                <w:sz w:val="18"/>
              </w:rPr>
              <w:t>27-ago-2025 → 26-sep-2025</w:t>
            </w:r>
          </w:p>
        </w:tc>
        <w:tc>
          <w:tcPr>
            <w:tcW w:type="dxa" w:w="960"/>
          </w:tcPr>
          <w:p>
            <w:pPr>
              <w:spacing w:before="0" w:after="0"/>
            </w:pPr>
            <w:r>
              <w:rPr>
                <w:sz w:val="18"/>
              </w:rPr>
              <w:t>13-sep-2025</w:t>
            </w:r>
          </w:p>
        </w:tc>
        <w:tc>
          <w:tcPr>
            <w:tcW w:type="dxa" w:w="960"/>
          </w:tcPr>
          <w:p>
            <w:pPr>
              <w:spacing w:before="0" w:after="0"/>
            </w:pPr>
            <w:r>
              <w:rPr>
                <w:sz w:val="18"/>
              </w:rPr>
              <w:t>HIST-20250926</w:t>
            </w:r>
          </w:p>
        </w:tc>
        <w:tc>
          <w:tcPr>
            <w:tcW w:type="dxa" w:w="960"/>
          </w:tcPr>
          <w:p>
            <w:pPr>
              <w:spacing w:before="0" w:after="0"/>
            </w:pPr>
            <w:r>
              <w:rPr>
                <w:sz w:val="18"/>
              </w:rPr>
              <w:t>-</w:t>
            </w:r>
          </w:p>
        </w:tc>
        <w:tc>
          <w:tcPr>
            <w:tcW w:type="dxa" w:w="960"/>
          </w:tcPr>
          <w:p>
            <w:pPr>
              <w:spacing w:before="0" w:after="0"/>
            </w:pPr>
            <w:r>
              <w:rPr>
                <w:sz w:val="18"/>
              </w:rPr>
              <w:t>367</w:t>
            </w:r>
          </w:p>
        </w:tc>
        <w:tc>
          <w:tcPr>
            <w:tcW w:type="dxa" w:w="960"/>
          </w:tcPr>
          <w:p>
            <w:pPr>
              <w:spacing w:before="0" w:after="0"/>
            </w:pPr>
            <w:r>
              <w:rPr>
                <w:sz w:val="18"/>
              </w:rPr>
              <w:t>388,2</w:t>
            </w:r>
          </w:p>
        </w:tc>
        <w:tc>
          <w:tcPr>
            <w:tcW w:type="dxa" w:w="960"/>
          </w:tcPr>
          <w:p>
            <w:pPr>
              <w:spacing w:before="0" w:after="0"/>
            </w:pPr>
            <w:r>
              <w:rPr>
                <w:sz w:val="18"/>
              </w:rPr>
              <w:t>31</w:t>
            </w:r>
          </w:p>
        </w:tc>
        <w:tc>
          <w:tcPr>
            <w:tcW w:type="dxa" w:w="960"/>
          </w:tcPr>
          <w:p>
            <w:pPr>
              <w:spacing w:before="0" w:after="0"/>
            </w:pPr>
            <w:r>
              <w:rPr>
                <w:sz w:val="18"/>
              </w:rPr>
              <w:t>-21,2</w:t>
            </w:r>
          </w:p>
        </w:tc>
        <w:tc>
          <w:tcPr>
            <w:tcW w:type="dxa" w:w="960"/>
          </w:tcPr>
          <w:p>
            <w:pPr>
              <w:spacing w:before="0" w:after="0"/>
            </w:pPr>
            <w:r>
              <w:rPr>
                <w:sz w:val="18"/>
              </w:rPr>
              <w:t>-5,8%</w:t>
            </w:r>
          </w:p>
        </w:tc>
      </w:tr>
      <w:tr>
        <w:tc>
          <w:tcPr>
            <w:tcW w:type="dxa" w:w="960"/>
          </w:tcPr>
          <w:p>
            <w:pPr>
              <w:spacing w:before="0" w:after="0"/>
            </w:pPr>
            <w:r>
              <w:rPr>
                <w:sz w:val="18"/>
              </w:rPr>
              <w:t>26-sep-2025 → 27-oct-2025</w:t>
            </w:r>
          </w:p>
        </w:tc>
        <w:tc>
          <w:tcPr>
            <w:tcW w:type="dxa" w:w="960"/>
          </w:tcPr>
          <w:p>
            <w:pPr>
              <w:spacing w:before="0" w:after="0"/>
            </w:pPr>
            <w:r>
              <w:rPr>
                <w:sz w:val="18"/>
              </w:rPr>
              <w:t>15-oct-2025</w:t>
            </w:r>
          </w:p>
        </w:tc>
        <w:tc>
          <w:tcPr>
            <w:tcW w:type="dxa" w:w="960"/>
          </w:tcPr>
          <w:p>
            <w:pPr>
              <w:spacing w:before="0" w:after="0"/>
            </w:pPr>
            <w:r>
              <w:rPr>
                <w:sz w:val="18"/>
              </w:rPr>
              <w:t>HIST-20251027</w:t>
            </w:r>
          </w:p>
        </w:tc>
        <w:tc>
          <w:tcPr>
            <w:tcW w:type="dxa" w:w="960"/>
          </w:tcPr>
          <w:p>
            <w:pPr>
              <w:spacing w:before="0" w:after="0"/>
            </w:pPr>
            <w:r>
              <w:rPr>
                <w:sz w:val="18"/>
              </w:rPr>
              <w:t>-</w:t>
            </w:r>
          </w:p>
        </w:tc>
        <w:tc>
          <w:tcPr>
            <w:tcW w:type="dxa" w:w="960"/>
          </w:tcPr>
          <w:p>
            <w:pPr>
              <w:spacing w:before="0" w:after="0"/>
            </w:pPr>
            <w:r>
              <w:rPr>
                <w:sz w:val="18"/>
              </w:rPr>
              <w:t>367</w:t>
            </w:r>
          </w:p>
        </w:tc>
        <w:tc>
          <w:tcPr>
            <w:tcW w:type="dxa" w:w="960"/>
          </w:tcPr>
          <w:p>
            <w:pPr>
              <w:spacing w:before="0" w:after="0"/>
            </w:pPr>
            <w:r>
              <w:rPr>
                <w:sz w:val="18"/>
              </w:rPr>
              <w:t>4.403,4</w:t>
            </w:r>
          </w:p>
        </w:tc>
        <w:tc>
          <w:tcPr>
            <w:tcW w:type="dxa" w:w="960"/>
          </w:tcPr>
          <w:p>
            <w:pPr>
              <w:spacing w:before="0" w:after="0"/>
            </w:pPr>
            <w:r>
              <w:rPr>
                <w:sz w:val="18"/>
              </w:rPr>
              <w:t>32</w:t>
            </w:r>
          </w:p>
        </w:tc>
        <w:tc>
          <w:tcPr>
            <w:tcW w:type="dxa" w:w="960"/>
          </w:tcPr>
          <w:p>
            <w:pPr>
              <w:spacing w:before="0" w:after="0"/>
            </w:pPr>
            <w:r>
              <w:rPr>
                <w:sz w:val="18"/>
              </w:rPr>
              <w:t>-4.036,4</w:t>
            </w:r>
          </w:p>
        </w:tc>
        <w:tc>
          <w:tcPr>
            <w:tcW w:type="dxa" w:w="960"/>
          </w:tcPr>
          <w:p>
            <w:pPr>
              <w:spacing w:before="0" w:after="0"/>
            </w:pPr>
            <w:r>
              <w:rPr>
                <w:sz w:val="18"/>
              </w:rPr>
              <w:t>-1.099,9%</w:t>
            </w:r>
          </w:p>
        </w:tc>
      </w:tr>
      <w:tr>
        <w:tc>
          <w:tcPr>
            <w:tcW w:type="dxa" w:w="960"/>
          </w:tcPr>
          <w:p>
            <w:pPr>
              <w:spacing w:before="0" w:after="0"/>
            </w:pPr>
            <w:r>
              <w:rPr>
                <w:sz w:val="18"/>
              </w:rPr>
              <w:t>27-oct-2025 → 25-nov-2025</w:t>
            </w:r>
          </w:p>
        </w:tc>
        <w:tc>
          <w:tcPr>
            <w:tcW w:type="dxa" w:w="960"/>
          </w:tcPr>
          <w:p>
            <w:pPr>
              <w:spacing w:before="0" w:after="0"/>
            </w:pPr>
            <w:r>
              <w:rPr>
                <w:sz w:val="18"/>
              </w:rPr>
              <w:t>14-nov-2025</w:t>
            </w:r>
          </w:p>
        </w:tc>
        <w:tc>
          <w:tcPr>
            <w:tcW w:type="dxa" w:w="960"/>
          </w:tcPr>
          <w:p>
            <w:pPr>
              <w:spacing w:before="0" w:after="0"/>
            </w:pPr>
            <w:r>
              <w:rPr>
                <w:sz w:val="18"/>
              </w:rPr>
              <w:t>HIST-20251125</w:t>
            </w:r>
          </w:p>
        </w:tc>
        <w:tc>
          <w:tcPr>
            <w:tcW w:type="dxa" w:w="960"/>
          </w:tcPr>
          <w:p>
            <w:pPr>
              <w:spacing w:before="0" w:after="0"/>
            </w:pPr>
            <w:r>
              <w:rPr>
                <w:sz w:val="18"/>
              </w:rPr>
              <w:t>-</w:t>
            </w:r>
          </w:p>
        </w:tc>
        <w:tc>
          <w:tcPr>
            <w:tcW w:type="dxa" w:w="960"/>
          </w:tcPr>
          <w:p>
            <w:pPr>
              <w:spacing w:before="0" w:after="0"/>
            </w:pPr>
            <w:r>
              <w:rPr>
                <w:sz w:val="18"/>
              </w:rPr>
              <w:t>430</w:t>
            </w:r>
          </w:p>
        </w:tc>
        <w:tc>
          <w:tcPr>
            <w:tcW w:type="dxa" w:w="960"/>
          </w:tcPr>
          <w:p>
            <w:pPr>
              <w:spacing w:before="0" w:after="0"/>
            </w:pPr>
            <w:r>
              <w:rPr>
                <w:sz w:val="18"/>
              </w:rPr>
              <w:t>1.750,2</w:t>
            </w:r>
          </w:p>
        </w:tc>
        <w:tc>
          <w:tcPr>
            <w:tcW w:type="dxa" w:w="960"/>
          </w:tcPr>
          <w:p>
            <w:pPr>
              <w:spacing w:before="0" w:after="0"/>
            </w:pPr>
            <w:r>
              <w:rPr>
                <w:sz w:val="18"/>
              </w:rPr>
              <w:t>30</w:t>
            </w:r>
          </w:p>
        </w:tc>
        <w:tc>
          <w:tcPr>
            <w:tcW w:type="dxa" w:w="960"/>
          </w:tcPr>
          <w:p>
            <w:pPr>
              <w:spacing w:before="0" w:after="0"/>
            </w:pPr>
            <w:r>
              <w:rPr>
                <w:sz w:val="18"/>
              </w:rPr>
              <w:t>-1.320,2</w:t>
            </w:r>
          </w:p>
        </w:tc>
        <w:tc>
          <w:tcPr>
            <w:tcW w:type="dxa" w:w="960"/>
          </w:tcPr>
          <w:p>
            <w:pPr>
              <w:spacing w:before="0" w:after="0"/>
            </w:pPr>
            <w:r>
              <w:rPr>
                <w:sz w:val="18"/>
              </w:rPr>
              <w:t>-307%</w:t>
            </w:r>
          </w:p>
        </w:tc>
      </w:tr>
    </w:tbl>
    <w:p/>
    <w:p>
      <w:pPr>
        <w:keepNext/>
      </w:pPr>
      <w:r>
        <w:t>Tabla B — Períodos de transición (11-dic-2025 a 08-ene-2026), solo lecturas ≥ 06-06-2025: ciclos con ajustes y estabilización.</w:t>
      </w:r>
    </w:p>
    <w:p>
      <w:pPr>
        <w:keepNext/>
      </w:pPr>
      <w:r>
        <w:rPr>
          <w:b/>
        </w:rPr>
        <w:t>Períodos de transición (11-dic-2025 a 08-ene-2026)</w:t>
      </w:r>
    </w:p>
    <w:tbl>
      <w:tblPr>
        <w:tblStyle w:val="TableGrid"/>
        <w:jc w:val="center"/>
        <w:tblLook w:firstColumn="1" w:firstRow="1" w:lastColumn="0" w:lastRow="0" w:noHBand="0" w:noVBand="1" w:val="04A0"/>
        <w:tblW w:w="5000" w:type="pct"/>
        <w:tblLayout w:type="fixed"/>
      </w:tblPr>
      <w:tblGrid>
        <w:gridCol w:w="960"/>
        <w:gridCol w:w="960"/>
        <w:gridCol w:w="960"/>
        <w:gridCol w:w="960"/>
        <w:gridCol w:w="960"/>
        <w:gridCol w:w="960"/>
        <w:gridCol w:w="960"/>
        <w:gridCol w:w="960"/>
        <w:gridCol w:w="960"/>
      </w:tblGrid>
      <w:tr>
        <w:trPr>
          <w:tblHeader w:val="true"/>
        </w:trPr>
        <w:tc>
          <w:tcPr>
            <w:tcW w:type="dxa" w:w="960"/>
          </w:tcPr>
          <w:p>
            <w:pPr>
              <w:spacing w:before="0" w:after="0"/>
            </w:pPr>
            <w:r>
              <w:rPr>
                <w:b/>
                <w:sz w:val="18"/>
              </w:rPr>
              <w:t>Período (lecturas)</w:t>
            </w:r>
          </w:p>
        </w:tc>
        <w:tc>
          <w:tcPr>
            <w:tcW w:type="dxa" w:w="960"/>
          </w:tcPr>
          <w:p>
            <w:pPr>
              <w:spacing w:before="0" w:after="0"/>
            </w:pPr>
            <w:r>
              <w:rPr>
                <w:b/>
                <w:sz w:val="18"/>
              </w:rPr>
              <w:t>Emisión</w:t>
            </w:r>
          </w:p>
        </w:tc>
        <w:tc>
          <w:tcPr>
            <w:tcW w:type="dxa" w:w="960"/>
          </w:tcPr>
          <w:p>
            <w:pPr>
              <w:spacing w:before="0" w:after="0"/>
            </w:pPr>
            <w:r>
              <w:rPr>
                <w:b/>
                <w:sz w:val="18"/>
              </w:rPr>
              <w:t>N° factura</w:t>
            </w:r>
          </w:p>
        </w:tc>
        <w:tc>
          <w:tcPr>
            <w:tcW w:type="dxa" w:w="960"/>
          </w:tcPr>
          <w:p>
            <w:pPr>
              <w:spacing w:before="0" w:after="0"/>
            </w:pPr>
            <w:r>
              <w:rPr>
                <w:b/>
                <w:sz w:val="18"/>
              </w:rPr>
              <w:t>Medidor</w:t>
            </w:r>
          </w:p>
        </w:tc>
        <w:tc>
          <w:tcPr>
            <w:tcW w:type="dxa" w:w="960"/>
          </w:tcPr>
          <w:p>
            <w:pPr>
              <w:spacing w:before="0" w:after="0"/>
            </w:pPr>
            <w:r>
              <w:rPr>
                <w:b/>
                <w:sz w:val="18"/>
              </w:rPr>
              <w:t>m³ facturado</w:t>
            </w:r>
          </w:p>
        </w:tc>
        <w:tc>
          <w:tcPr>
            <w:tcW w:type="dxa" w:w="960"/>
          </w:tcPr>
          <w:p>
            <w:pPr>
              <w:spacing w:before="0" w:after="0"/>
            </w:pPr>
            <w:r>
              <w:rPr>
                <w:b/>
                <w:sz w:val="18"/>
              </w:rPr>
              <w:t>m³ App (WES)</w:t>
            </w:r>
          </w:p>
        </w:tc>
        <w:tc>
          <w:tcPr>
            <w:tcW w:type="dxa" w:w="960"/>
          </w:tcPr>
          <w:p>
            <w:pPr>
              <w:spacing w:before="0" w:after="0"/>
            </w:pPr>
            <w:r>
              <w:rPr>
                <w:b/>
                <w:sz w:val="18"/>
              </w:rPr>
              <w:t>Días (WES)</w:t>
            </w:r>
          </w:p>
        </w:tc>
        <w:tc>
          <w:tcPr>
            <w:tcW w:type="dxa" w:w="960"/>
          </w:tcPr>
          <w:p>
            <w:pPr>
              <w:spacing w:before="0" w:after="0"/>
            </w:pPr>
            <w:r>
              <w:rPr>
                <w:b/>
                <w:sz w:val="18"/>
              </w:rPr>
              <w:t>Dif (fact - WES)</w:t>
            </w:r>
          </w:p>
        </w:tc>
        <w:tc>
          <w:tcPr>
            <w:tcW w:type="dxa" w:w="960"/>
          </w:tcPr>
          <w:p>
            <w:pPr>
              <w:spacing w:before="0" w:after="0"/>
            </w:pPr>
            <w:r>
              <w:rPr>
                <w:b/>
                <w:sz w:val="18"/>
              </w:rPr>
              <w:t>% Dif vs Fact</w:t>
            </w:r>
          </w:p>
        </w:tc>
      </w:tr>
      <w:tr>
        <w:tc>
          <w:tcPr>
            <w:tcW w:type="dxa" w:w="960"/>
          </w:tcPr>
          <w:p>
            <w:pPr>
              <w:spacing w:before="0" w:after="0"/>
            </w:pPr>
            <w:r>
              <w:rPr>
                <w:sz w:val="18"/>
              </w:rPr>
              <w:t>25-nov-2025 → 27-dic-2025</w:t>
            </w:r>
          </w:p>
        </w:tc>
        <w:tc>
          <w:tcPr>
            <w:tcW w:type="dxa" w:w="960"/>
          </w:tcPr>
          <w:p>
            <w:pPr>
              <w:spacing w:before="0" w:after="0"/>
            </w:pPr>
            <w:r>
              <w:rPr>
                <w:sz w:val="18"/>
              </w:rPr>
              <w:t>16-dic-2025</w:t>
            </w:r>
          </w:p>
        </w:tc>
        <w:tc>
          <w:tcPr>
            <w:tcW w:type="dxa" w:w="960"/>
          </w:tcPr>
          <w:p>
            <w:pPr>
              <w:spacing w:before="0" w:after="0"/>
            </w:pPr>
            <w:r>
              <w:rPr>
                <w:sz w:val="18"/>
              </w:rPr>
              <w:t>HIST-20251227</w:t>
            </w:r>
          </w:p>
        </w:tc>
        <w:tc>
          <w:tcPr>
            <w:tcW w:type="dxa" w:w="960"/>
          </w:tcPr>
          <w:p>
            <w:pPr>
              <w:spacing w:before="0" w:after="0"/>
            </w:pPr>
            <w:r>
              <w:rPr>
                <w:sz w:val="18"/>
              </w:rPr>
              <w:t>-</w:t>
            </w:r>
          </w:p>
        </w:tc>
        <w:tc>
          <w:tcPr>
            <w:tcW w:type="dxa" w:w="960"/>
          </w:tcPr>
          <w:p>
            <w:pPr>
              <w:spacing w:before="0" w:after="0"/>
            </w:pPr>
            <w:r>
              <w:rPr>
                <w:sz w:val="18"/>
              </w:rPr>
              <w:t>579</w:t>
            </w:r>
          </w:p>
        </w:tc>
        <w:tc>
          <w:tcPr>
            <w:tcW w:type="dxa" w:w="960"/>
          </w:tcPr>
          <w:p>
            <w:pPr>
              <w:spacing w:before="0" w:after="0"/>
            </w:pPr>
            <w:r>
              <w:rPr>
                <w:sz w:val="18"/>
              </w:rPr>
              <w:t>1.089,4</w:t>
            </w:r>
          </w:p>
        </w:tc>
        <w:tc>
          <w:tcPr>
            <w:tcW w:type="dxa" w:w="960"/>
          </w:tcPr>
          <w:p>
            <w:pPr>
              <w:spacing w:before="0" w:after="0"/>
            </w:pPr>
            <w:r>
              <w:rPr>
                <w:sz w:val="18"/>
              </w:rPr>
              <w:t>33</w:t>
            </w:r>
          </w:p>
        </w:tc>
        <w:tc>
          <w:tcPr>
            <w:tcW w:type="dxa" w:w="960"/>
          </w:tcPr>
          <w:p>
            <w:pPr>
              <w:spacing w:before="0" w:after="0"/>
            </w:pPr>
            <w:r>
              <w:rPr>
                <w:sz w:val="18"/>
              </w:rPr>
              <w:t>-510,4</w:t>
            </w:r>
          </w:p>
        </w:tc>
        <w:tc>
          <w:tcPr>
            <w:tcW w:type="dxa" w:w="960"/>
          </w:tcPr>
          <w:p>
            <w:pPr>
              <w:spacing w:before="0" w:after="0"/>
            </w:pPr>
            <w:r>
              <w:rPr>
                <w:sz w:val="18"/>
              </w:rPr>
              <w:t>-88,1%</w:t>
            </w:r>
          </w:p>
        </w:tc>
      </w:tr>
      <w:tr>
        <w:tc>
          <w:tcPr>
            <w:tcW w:type="dxa" w:w="960"/>
          </w:tcPr>
          <w:p>
            <w:pPr>
              <w:spacing w:before="0" w:after="0"/>
            </w:pPr>
            <w:r>
              <w:rPr>
                <w:sz w:val="18"/>
              </w:rPr>
              <w:t>27-dic-2025 → 27-ene-2026</w:t>
            </w:r>
          </w:p>
        </w:tc>
        <w:tc>
          <w:tcPr>
            <w:tcW w:type="dxa" w:w="960"/>
          </w:tcPr>
          <w:p>
            <w:pPr>
              <w:spacing w:before="0" w:after="0"/>
            </w:pPr>
            <w:r>
              <w:rPr>
                <w:sz w:val="18"/>
              </w:rPr>
              <w:t>15-jan-2026</w:t>
            </w:r>
          </w:p>
        </w:tc>
        <w:tc>
          <w:tcPr>
            <w:tcW w:type="dxa" w:w="960"/>
          </w:tcPr>
          <w:p>
            <w:pPr>
              <w:spacing w:before="0" w:after="0"/>
            </w:pPr>
            <w:r>
              <w:rPr>
                <w:sz w:val="18"/>
              </w:rPr>
              <w:t>HIST-20260127</w:t>
            </w:r>
          </w:p>
        </w:tc>
        <w:tc>
          <w:tcPr>
            <w:tcW w:type="dxa" w:w="960"/>
          </w:tcPr>
          <w:p>
            <w:pPr>
              <w:spacing w:before="0" w:after="0"/>
            </w:pPr>
            <w:r>
              <w:rPr>
                <w:sz w:val="18"/>
              </w:rPr>
              <w:t>-</w:t>
            </w:r>
          </w:p>
        </w:tc>
        <w:tc>
          <w:tcPr>
            <w:tcW w:type="dxa" w:w="960"/>
          </w:tcPr>
          <w:p>
            <w:pPr>
              <w:spacing w:before="0" w:after="0"/>
            </w:pPr>
            <w:r>
              <w:rPr>
                <w:sz w:val="18"/>
              </w:rPr>
              <w:t>573</w:t>
            </w:r>
          </w:p>
        </w:tc>
        <w:tc>
          <w:tcPr>
            <w:tcW w:type="dxa" w:w="960"/>
          </w:tcPr>
          <w:p>
            <w:pPr>
              <w:spacing w:before="0" w:after="0"/>
            </w:pPr>
            <w:r>
              <w:rPr>
                <w:sz w:val="18"/>
              </w:rPr>
              <w:t>643,2</w:t>
            </w:r>
          </w:p>
        </w:tc>
        <w:tc>
          <w:tcPr>
            <w:tcW w:type="dxa" w:w="960"/>
          </w:tcPr>
          <w:p>
            <w:pPr>
              <w:spacing w:before="0" w:after="0"/>
            </w:pPr>
            <w:r>
              <w:rPr>
                <w:sz w:val="18"/>
              </w:rPr>
              <w:t>32</w:t>
            </w:r>
          </w:p>
        </w:tc>
        <w:tc>
          <w:tcPr>
            <w:tcW w:type="dxa" w:w="960"/>
          </w:tcPr>
          <w:p>
            <w:pPr>
              <w:spacing w:before="0" w:after="0"/>
            </w:pPr>
            <w:r>
              <w:rPr>
                <w:sz w:val="18"/>
              </w:rPr>
              <w:t>-70,2</w:t>
            </w:r>
          </w:p>
        </w:tc>
        <w:tc>
          <w:tcPr>
            <w:tcW w:type="dxa" w:w="960"/>
          </w:tcPr>
          <w:p>
            <w:pPr>
              <w:spacing w:before="0" w:after="0"/>
            </w:pPr>
            <w:r>
              <w:rPr>
                <w:sz w:val="18"/>
              </w:rPr>
              <w:t>-12,3%</w:t>
            </w:r>
          </w:p>
        </w:tc>
      </w:tr>
    </w:tbl>
    <w:p/>
    <w:p>
      <w:pPr>
        <w:keepNext/>
      </w:pPr>
      <w:r>
        <w:t>Tabla C — Períodos alineados (posterior a 08-ene-2026), solo lecturas ≥ 06-06-2025: referencia principal; «% Dif vs Fact» respecto a la facturación.</w:t>
      </w:r>
    </w:p>
    <w:p>
      <w:pPr>
        <w:keepNext/>
      </w:pPr>
      <w:r>
        <w:rPr>
          <w:b/>
        </w:rPr>
        <w:t>Períodos alineados (posterior a 08-ene-2026)</w:t>
      </w:r>
    </w:p>
    <w:tbl>
      <w:tblPr>
        <w:tblStyle w:val="TableGrid"/>
        <w:jc w:val="center"/>
        <w:tblLook w:firstColumn="1" w:firstRow="1" w:lastColumn="0" w:lastRow="0" w:noHBand="0" w:noVBand="1" w:val="04A0"/>
        <w:tblW w:w="5000" w:type="pct"/>
        <w:tblLayout w:type="fixed"/>
      </w:tblPr>
      <w:tblGrid>
        <w:gridCol w:w="960"/>
        <w:gridCol w:w="960"/>
        <w:gridCol w:w="960"/>
        <w:gridCol w:w="960"/>
        <w:gridCol w:w="960"/>
        <w:gridCol w:w="960"/>
        <w:gridCol w:w="960"/>
        <w:gridCol w:w="960"/>
        <w:gridCol w:w="960"/>
      </w:tblGrid>
      <w:tr>
        <w:trPr>
          <w:tblHeader w:val="true"/>
        </w:trPr>
        <w:tc>
          <w:tcPr>
            <w:tcW w:type="dxa" w:w="960"/>
          </w:tcPr>
          <w:p>
            <w:pPr>
              <w:spacing w:before="0" w:after="0"/>
            </w:pPr>
            <w:r>
              <w:rPr>
                <w:b/>
                <w:sz w:val="18"/>
              </w:rPr>
              <w:t>Período (lecturas)</w:t>
            </w:r>
          </w:p>
        </w:tc>
        <w:tc>
          <w:tcPr>
            <w:tcW w:type="dxa" w:w="960"/>
          </w:tcPr>
          <w:p>
            <w:pPr>
              <w:spacing w:before="0" w:after="0"/>
            </w:pPr>
            <w:r>
              <w:rPr>
                <w:b/>
                <w:sz w:val="18"/>
              </w:rPr>
              <w:t>Emisión</w:t>
            </w:r>
          </w:p>
        </w:tc>
        <w:tc>
          <w:tcPr>
            <w:tcW w:type="dxa" w:w="960"/>
          </w:tcPr>
          <w:p>
            <w:pPr>
              <w:spacing w:before="0" w:after="0"/>
            </w:pPr>
            <w:r>
              <w:rPr>
                <w:b/>
                <w:sz w:val="18"/>
              </w:rPr>
              <w:t>N° factura</w:t>
            </w:r>
          </w:p>
        </w:tc>
        <w:tc>
          <w:tcPr>
            <w:tcW w:type="dxa" w:w="960"/>
          </w:tcPr>
          <w:p>
            <w:pPr>
              <w:spacing w:before="0" w:after="0"/>
            </w:pPr>
            <w:r>
              <w:rPr>
                <w:b/>
                <w:sz w:val="18"/>
              </w:rPr>
              <w:t>Medidor</w:t>
            </w:r>
          </w:p>
        </w:tc>
        <w:tc>
          <w:tcPr>
            <w:tcW w:type="dxa" w:w="960"/>
          </w:tcPr>
          <w:p>
            <w:pPr>
              <w:spacing w:before="0" w:after="0"/>
            </w:pPr>
            <w:r>
              <w:rPr>
                <w:b/>
                <w:sz w:val="18"/>
              </w:rPr>
              <w:t>m³ facturado</w:t>
            </w:r>
          </w:p>
        </w:tc>
        <w:tc>
          <w:tcPr>
            <w:tcW w:type="dxa" w:w="960"/>
          </w:tcPr>
          <w:p>
            <w:pPr>
              <w:spacing w:before="0" w:after="0"/>
            </w:pPr>
            <w:r>
              <w:rPr>
                <w:b/>
                <w:sz w:val="18"/>
              </w:rPr>
              <w:t>m³ App (WES)</w:t>
            </w:r>
          </w:p>
        </w:tc>
        <w:tc>
          <w:tcPr>
            <w:tcW w:type="dxa" w:w="960"/>
          </w:tcPr>
          <w:p>
            <w:pPr>
              <w:spacing w:before="0" w:after="0"/>
            </w:pPr>
            <w:r>
              <w:rPr>
                <w:b/>
                <w:sz w:val="18"/>
              </w:rPr>
              <w:t>Días (WES)</w:t>
            </w:r>
          </w:p>
        </w:tc>
        <w:tc>
          <w:tcPr>
            <w:tcW w:type="dxa" w:w="960"/>
          </w:tcPr>
          <w:p>
            <w:pPr>
              <w:spacing w:before="0" w:after="0"/>
            </w:pPr>
            <w:r>
              <w:rPr>
                <w:b/>
                <w:sz w:val="18"/>
              </w:rPr>
              <w:t>Dif (fact - WES)</w:t>
            </w:r>
          </w:p>
        </w:tc>
        <w:tc>
          <w:tcPr>
            <w:tcW w:type="dxa" w:w="960"/>
          </w:tcPr>
          <w:p>
            <w:pPr>
              <w:spacing w:before="0" w:after="0"/>
            </w:pPr>
            <w:r>
              <w:rPr>
                <w:b/>
                <w:sz w:val="18"/>
              </w:rPr>
              <w:t>% Dif vs Fact</w:t>
            </w:r>
          </w:p>
        </w:tc>
      </w:tr>
      <w:tr>
        <w:tc>
          <w:tcPr>
            <w:tcW w:type="dxa" w:w="960"/>
          </w:tcPr>
          <w:p>
            <w:pPr>
              <w:spacing w:before="0" w:after="0"/>
            </w:pPr>
            <w:r>
              <w:rPr>
                <w:sz w:val="18"/>
              </w:rPr>
              <w:t>27-ene-2026 → 25-feb-2026</w:t>
            </w:r>
          </w:p>
        </w:tc>
        <w:tc>
          <w:tcPr>
            <w:tcW w:type="dxa" w:w="960"/>
          </w:tcPr>
          <w:p>
            <w:pPr>
              <w:spacing w:before="0" w:after="0"/>
            </w:pPr>
            <w:r>
              <w:rPr>
                <w:sz w:val="18"/>
              </w:rPr>
              <w:t>14-feb-2026</w:t>
            </w:r>
          </w:p>
        </w:tc>
        <w:tc>
          <w:tcPr>
            <w:tcW w:type="dxa" w:w="960"/>
          </w:tcPr>
          <w:p>
            <w:pPr>
              <w:spacing w:before="0" w:after="0"/>
            </w:pPr>
            <w:r>
              <w:rPr>
                <w:sz w:val="18"/>
              </w:rPr>
              <w:t>HIST-20260225</w:t>
            </w:r>
          </w:p>
        </w:tc>
        <w:tc>
          <w:tcPr>
            <w:tcW w:type="dxa" w:w="960"/>
          </w:tcPr>
          <w:p>
            <w:pPr>
              <w:spacing w:before="0" w:after="0"/>
            </w:pPr>
            <w:r>
              <w:rPr>
                <w:sz w:val="18"/>
              </w:rPr>
              <w:t>-</w:t>
            </w:r>
          </w:p>
        </w:tc>
        <w:tc>
          <w:tcPr>
            <w:tcW w:type="dxa" w:w="960"/>
          </w:tcPr>
          <w:p>
            <w:pPr>
              <w:spacing w:before="0" w:after="0"/>
            </w:pPr>
            <w:r>
              <w:rPr>
                <w:sz w:val="18"/>
              </w:rPr>
              <w:t>969</w:t>
            </w:r>
          </w:p>
        </w:tc>
        <w:tc>
          <w:tcPr>
            <w:tcW w:type="dxa" w:w="960"/>
          </w:tcPr>
          <w:p>
            <w:pPr>
              <w:spacing w:before="0" w:after="0"/>
            </w:pPr>
            <w:r>
              <w:rPr>
                <w:sz w:val="18"/>
              </w:rPr>
              <w:t>1.792</w:t>
            </w:r>
          </w:p>
        </w:tc>
        <w:tc>
          <w:tcPr>
            <w:tcW w:type="dxa" w:w="960"/>
          </w:tcPr>
          <w:p>
            <w:pPr>
              <w:spacing w:before="0" w:after="0"/>
            </w:pPr>
            <w:r>
              <w:rPr>
                <w:sz w:val="18"/>
              </w:rPr>
              <w:t>30</w:t>
            </w:r>
          </w:p>
        </w:tc>
        <w:tc>
          <w:tcPr>
            <w:tcW w:type="dxa" w:w="960"/>
          </w:tcPr>
          <w:p>
            <w:pPr>
              <w:spacing w:before="0" w:after="0"/>
            </w:pPr>
            <w:r>
              <w:rPr>
                <w:sz w:val="18"/>
              </w:rPr>
              <w:t>-823</w:t>
            </w:r>
          </w:p>
        </w:tc>
        <w:tc>
          <w:tcPr>
            <w:tcW w:type="dxa" w:w="960"/>
          </w:tcPr>
          <w:p>
            <w:pPr>
              <w:spacing w:before="0" w:after="0"/>
            </w:pPr>
            <w:r>
              <w:rPr>
                <w:sz w:val="18"/>
              </w:rPr>
              <w:t>-84,9%</w:t>
            </w:r>
          </w:p>
        </w:tc>
      </w:tr>
      <w:tr>
        <w:tc>
          <w:tcPr>
            <w:tcW w:type="dxa" w:w="960"/>
          </w:tcPr>
          <w:p>
            <w:pPr>
              <w:spacing w:before="0" w:after="0"/>
            </w:pPr>
            <w:r>
              <w:rPr>
                <w:sz w:val="18"/>
              </w:rPr>
              <w:t>25-feb-2026 → 27-mar-2026</w:t>
            </w:r>
          </w:p>
        </w:tc>
        <w:tc>
          <w:tcPr>
            <w:tcW w:type="dxa" w:w="960"/>
          </w:tcPr>
          <w:p>
            <w:pPr>
              <w:spacing w:before="0" w:after="0"/>
            </w:pPr>
            <w:r>
              <w:rPr>
                <w:sz w:val="18"/>
              </w:rPr>
              <w:t>17-mar-2026</w:t>
            </w:r>
          </w:p>
        </w:tc>
        <w:tc>
          <w:tcPr>
            <w:tcW w:type="dxa" w:w="960"/>
          </w:tcPr>
          <w:p>
            <w:pPr>
              <w:spacing w:before="0" w:after="0"/>
            </w:pPr>
            <w:r>
              <w:rPr>
                <w:sz w:val="18"/>
              </w:rPr>
              <w:t>HIST-20260327</w:t>
            </w:r>
          </w:p>
        </w:tc>
        <w:tc>
          <w:tcPr>
            <w:tcW w:type="dxa" w:w="960"/>
          </w:tcPr>
          <w:p>
            <w:pPr>
              <w:spacing w:before="0" w:after="0"/>
            </w:pPr>
            <w:r>
              <w:rPr>
                <w:sz w:val="18"/>
              </w:rPr>
              <w:t>-</w:t>
            </w:r>
          </w:p>
        </w:tc>
        <w:tc>
          <w:tcPr>
            <w:tcW w:type="dxa" w:w="960"/>
          </w:tcPr>
          <w:p>
            <w:pPr>
              <w:spacing w:before="0" w:after="0"/>
            </w:pPr>
            <w:r>
              <w:rPr>
                <w:sz w:val="18"/>
              </w:rPr>
              <w:t>704</w:t>
            </w:r>
          </w:p>
        </w:tc>
        <w:tc>
          <w:tcPr>
            <w:tcW w:type="dxa" w:w="960"/>
          </w:tcPr>
          <w:p>
            <w:pPr>
              <w:spacing w:before="0" w:after="0"/>
            </w:pPr>
            <w:r>
              <w:rPr>
                <w:sz w:val="18"/>
              </w:rPr>
              <w:t>1.320,9</w:t>
            </w:r>
          </w:p>
        </w:tc>
        <w:tc>
          <w:tcPr>
            <w:tcW w:type="dxa" w:w="960"/>
          </w:tcPr>
          <w:p>
            <w:pPr>
              <w:spacing w:before="0" w:after="0"/>
            </w:pPr>
            <w:r>
              <w:rPr>
                <w:sz w:val="18"/>
              </w:rPr>
              <w:t>31</w:t>
            </w:r>
          </w:p>
        </w:tc>
        <w:tc>
          <w:tcPr>
            <w:tcW w:type="dxa" w:w="960"/>
          </w:tcPr>
          <w:p>
            <w:pPr>
              <w:spacing w:before="0" w:after="0"/>
            </w:pPr>
            <w:r>
              <w:rPr>
                <w:sz w:val="18"/>
              </w:rPr>
              <w:t>-616,9</w:t>
            </w:r>
          </w:p>
        </w:tc>
        <w:tc>
          <w:tcPr>
            <w:tcW w:type="dxa" w:w="960"/>
          </w:tcPr>
          <w:p>
            <w:pPr>
              <w:spacing w:before="0" w:after="0"/>
            </w:pPr>
            <w:r>
              <w:rPr>
                <w:sz w:val="18"/>
              </w:rPr>
              <w:t>-87,6%</w:t>
            </w:r>
          </w:p>
        </w:tc>
      </w:tr>
      <w:tr>
        <w:tc>
          <w:tcPr>
            <w:tcW w:type="dxa" w:w="960"/>
          </w:tcPr>
          <w:p>
            <w:pPr>
              <w:spacing w:before="0" w:after="0"/>
            </w:pPr>
            <w:r>
              <w:rPr>
                <w:sz w:val="18"/>
              </w:rPr>
              <w:t>27-mar-2026 → 27-abr-2026</w:t>
            </w:r>
          </w:p>
        </w:tc>
        <w:tc>
          <w:tcPr>
            <w:tcW w:type="dxa" w:w="960"/>
          </w:tcPr>
          <w:p>
            <w:pPr>
              <w:spacing w:before="0" w:after="0"/>
            </w:pPr>
            <w:r>
              <w:rPr>
                <w:sz w:val="18"/>
              </w:rPr>
              <w:t>16-abr-2026</w:t>
            </w:r>
          </w:p>
        </w:tc>
        <w:tc>
          <w:tcPr>
            <w:tcW w:type="dxa" w:w="960"/>
          </w:tcPr>
          <w:p>
            <w:pPr>
              <w:spacing w:before="0" w:after="0"/>
            </w:pPr>
            <w:r>
              <w:rPr>
                <w:sz w:val="18"/>
              </w:rPr>
              <w:t>HIST-20260427</w:t>
            </w:r>
          </w:p>
        </w:tc>
        <w:tc>
          <w:tcPr>
            <w:tcW w:type="dxa" w:w="960"/>
          </w:tcPr>
          <w:p>
            <w:pPr>
              <w:spacing w:before="0" w:after="0"/>
            </w:pPr>
            <w:r>
              <w:rPr>
                <w:sz w:val="18"/>
              </w:rPr>
              <w:t>-</w:t>
            </w:r>
          </w:p>
        </w:tc>
        <w:tc>
          <w:tcPr>
            <w:tcW w:type="dxa" w:w="960"/>
          </w:tcPr>
          <w:p>
            <w:pPr>
              <w:spacing w:before="0" w:after="0"/>
            </w:pPr>
            <w:r>
              <w:rPr>
                <w:sz w:val="18"/>
              </w:rPr>
              <w:t>706</w:t>
            </w:r>
          </w:p>
        </w:tc>
        <w:tc>
          <w:tcPr>
            <w:tcW w:type="dxa" w:w="960"/>
          </w:tcPr>
          <w:p>
            <w:pPr>
              <w:spacing w:before="0" w:after="0"/>
            </w:pPr>
            <w:r>
              <w:rPr>
                <w:sz w:val="18"/>
              </w:rPr>
              <w:t>5.078,3</w:t>
            </w:r>
          </w:p>
        </w:tc>
        <w:tc>
          <w:tcPr>
            <w:tcW w:type="dxa" w:w="960"/>
          </w:tcPr>
          <w:p>
            <w:pPr>
              <w:spacing w:before="0" w:after="0"/>
            </w:pPr>
            <w:r>
              <w:rPr>
                <w:sz w:val="18"/>
              </w:rPr>
              <w:t>32</w:t>
            </w:r>
          </w:p>
        </w:tc>
        <w:tc>
          <w:tcPr>
            <w:tcW w:type="dxa" w:w="960"/>
          </w:tcPr>
          <w:p>
            <w:pPr>
              <w:spacing w:before="0" w:after="0"/>
            </w:pPr>
            <w:r>
              <w:rPr>
                <w:sz w:val="18"/>
              </w:rPr>
              <w:t>-4.372,3</w:t>
            </w:r>
          </w:p>
        </w:tc>
        <w:tc>
          <w:tcPr>
            <w:tcW w:type="dxa" w:w="960"/>
          </w:tcPr>
          <w:p>
            <w:pPr>
              <w:spacing w:before="0" w:after="0"/>
            </w:pPr>
            <w:r>
              <w:rPr>
                <w:sz w:val="18"/>
              </w:rPr>
              <w:t>-619,3%</w:t>
            </w:r>
          </w:p>
        </w:tc>
      </w:tr>
    </w:tbl>
    <w:p/>
    <w:p>
      <w:pPr>
        <w:jc w:val="left"/>
      </w:pPr>
      <w:r>
        <w:t>Gráfico consolidado — todas las boletas del cuadro, orden cronológico por lectura actual; izquierda App WES, derecha facturación. Solo lecturas ≥ 06-06-2025.</w:t>
      </w:r>
    </w:p>
    <w:p>
      <w:r>
        <w:drawing>
          <wp:inline xmlns:a="http://schemas.openxmlformats.org/drawingml/2006/main" xmlns:pic="http://schemas.openxmlformats.org/drawingml/2006/picture">
            <wp:extent cx="6126480" cy="2738651"/>
            <wp:docPr id="1" name="Picture 1"/>
            <wp:cNvGraphicFramePr>
              <a:graphicFrameLocks noChangeAspect="1"/>
            </wp:cNvGraphicFramePr>
            <a:graphic>
              <a:graphicData uri="http://schemas.openxmlformats.org/drawingml/2006/picture">
                <pic:pic>
                  <pic:nvPicPr>
                    <pic:cNvPr id="0" name="chart_barras_gimnasio_todos_20260513_213607.png"/>
                    <pic:cNvPicPr/>
                  </pic:nvPicPr>
                  <pic:blipFill>
                    <a:blip r:embed="rId9"/>
                    <a:stretch>
                      <a:fillRect/>
                    </a:stretch>
                  </pic:blipFill>
                  <pic:spPr>
                    <a:xfrm>
                      <a:off x="0" y="0"/>
                      <a:ext cx="6126480" cy="2738651"/>
                    </a:xfrm>
                    <a:prstGeom prst="rect"/>
                  </pic:spPr>
                </pic:pic>
              </a:graphicData>
            </a:graphic>
          </wp:inline>
        </w:drawing>
      </w:r>
    </w:p>
    <w:p/>
    <w:p>
      <w:r>
        <w:rPr>
          <w:b/>
        </w:rPr>
        <w:t>Gráfico — Tabla A (bypass)</w:t>
      </w:r>
    </w:p>
    <w:p>
      <w:r>
        <w:drawing>
          <wp:inline xmlns:a="http://schemas.openxmlformats.org/drawingml/2006/main" xmlns:pic="http://schemas.openxmlformats.org/drawingml/2006/picture">
            <wp:extent cx="6126480" cy="2738651"/>
            <wp:docPr id="2" name="Picture 2"/>
            <wp:cNvGraphicFramePr>
              <a:graphicFrameLocks noChangeAspect="1"/>
            </wp:cNvGraphicFramePr>
            <a:graphic>
              <a:graphicData uri="http://schemas.openxmlformats.org/drawingml/2006/picture">
                <pic:pic>
                  <pic:nvPicPr>
                    <pic:cNvPr id="0" name="chart_barras_gimnasio_bypass_20260513_213607.png"/>
                    <pic:cNvPicPr/>
                  </pic:nvPicPr>
                  <pic:blipFill>
                    <a:blip r:embed="rId10"/>
                    <a:stretch>
                      <a:fillRect/>
                    </a:stretch>
                  </pic:blipFill>
                  <pic:spPr>
                    <a:xfrm>
                      <a:off x="0" y="0"/>
                      <a:ext cx="6126480" cy="2738651"/>
                    </a:xfrm>
                    <a:prstGeom prst="rect"/>
                  </pic:spPr>
                </pic:pic>
              </a:graphicData>
            </a:graphic>
          </wp:inline>
        </w:drawing>
      </w:r>
    </w:p>
    <w:p/>
    <w:p>
      <w:r>
        <w:rPr>
          <w:b/>
        </w:rPr>
        <w:t>Gráfico — Tabla B (transición)</w:t>
      </w:r>
    </w:p>
    <w:p>
      <w:r>
        <w:drawing>
          <wp:inline xmlns:a="http://schemas.openxmlformats.org/drawingml/2006/main" xmlns:pic="http://schemas.openxmlformats.org/drawingml/2006/picture">
            <wp:extent cx="6126480" cy="2738651"/>
            <wp:docPr id="3" name="Picture 3"/>
            <wp:cNvGraphicFramePr>
              <a:graphicFrameLocks noChangeAspect="1"/>
            </wp:cNvGraphicFramePr>
            <a:graphic>
              <a:graphicData uri="http://schemas.openxmlformats.org/drawingml/2006/picture">
                <pic:pic>
                  <pic:nvPicPr>
                    <pic:cNvPr id="0" name="chart_barras_gimnasio_transicion_20260513_213607.png"/>
                    <pic:cNvPicPr/>
                  </pic:nvPicPr>
                  <pic:blipFill>
                    <a:blip r:embed="rId11"/>
                    <a:stretch>
                      <a:fillRect/>
                    </a:stretch>
                  </pic:blipFill>
                  <pic:spPr>
                    <a:xfrm>
                      <a:off x="0" y="0"/>
                      <a:ext cx="6126480" cy="2738651"/>
                    </a:xfrm>
                    <a:prstGeom prst="rect"/>
                  </pic:spPr>
                </pic:pic>
              </a:graphicData>
            </a:graphic>
          </wp:inline>
        </w:drawing>
      </w:r>
    </w:p>
    <w:p/>
    <w:p>
      <w:r>
        <w:rPr>
          <w:b/>
        </w:rPr>
        <w:t>Gráfico — Tabla C (alineados)</w:t>
      </w:r>
    </w:p>
    <w:p>
      <w:r>
        <w:drawing>
          <wp:inline xmlns:a="http://schemas.openxmlformats.org/drawingml/2006/main" xmlns:pic="http://schemas.openxmlformats.org/drawingml/2006/picture">
            <wp:extent cx="6126480" cy="2738651"/>
            <wp:docPr id="4" name="Picture 4"/>
            <wp:cNvGraphicFramePr>
              <a:graphicFrameLocks noChangeAspect="1"/>
            </wp:cNvGraphicFramePr>
            <a:graphic>
              <a:graphicData uri="http://schemas.openxmlformats.org/drawingml/2006/picture">
                <pic:pic>
                  <pic:nvPicPr>
                    <pic:cNvPr id="0" name="chart_barras_gimnasio_alineados_20260513_213607.png"/>
                    <pic:cNvPicPr/>
                  </pic:nvPicPr>
                  <pic:blipFill>
                    <a:blip r:embed="rId12"/>
                    <a:stretch>
                      <a:fillRect/>
                    </a:stretch>
                  </pic:blipFill>
                  <pic:spPr>
                    <a:xfrm>
                      <a:off x="0" y="0"/>
                      <a:ext cx="6126480" cy="2738651"/>
                    </a:xfrm>
                    <a:prstGeom prst="rect"/>
                  </pic:spPr>
                </pic:pic>
              </a:graphicData>
            </a:graphic>
          </wp:inline>
        </w:drawing>
      </w:r>
    </w:p>
    <w:p/>
    <w:p>
      <w:pPr>
        <w:pStyle w:val="Heading2"/>
      </w:pPr>
      <w:r>
        <w:t>2.3 Total acumulado — cuenta (facturación) vs App WES (≥ 06-06-2025)</w:t>
      </w:r>
    </w:p>
    <w:p>
      <w:r>
        <w:t>Suma de todos los períodos incluidos en el cuadro (lecturas anterior y actual ≥ 06-06-2025). Total en cuenta: suma del m³ facturado en esas boletas; total App: suma del consumo WES entre las mismas lecturas de cada período. En esta corrida, esos totales y las filas del cuadro provienen del archivo «Comparacion_Facturacion_vs_WES_Gimnasio_Renca.xlsx» (mismos números que la hoja exportada), sin volver a consultar la API al armar el Word.</w:t>
      </w:r>
    </w:p>
    <w:tbl>
      <w:tblPr>
        <w:tblStyle w:val="TableGrid"/>
        <w:jc w:val="center"/>
        <w:tblLook w:firstColumn="1" w:firstRow="1" w:lastColumn="0" w:lastRow="0" w:noHBand="0" w:noVBand="1" w:val="04A0"/>
        <w:tblW w:w="5000" w:type="pct"/>
        <w:tblLayout w:type="fixed"/>
      </w:tblPr>
      <w:tblGrid>
        <w:gridCol w:w="4320"/>
        <w:gridCol w:w="4320"/>
      </w:tblGrid>
      <w:tr>
        <w:tc>
          <w:tcPr>
            <w:tcW w:type="dxa" w:w="4320"/>
          </w:tcPr>
          <w:p>
            <w:pPr>
              <w:spacing w:before="0" w:after="0"/>
            </w:pPr>
            <w:r>
              <w:rPr>
                <w:b/>
                <w:sz w:val="18"/>
              </w:rPr>
              <w:t>Indicador</w:t>
            </w:r>
          </w:p>
        </w:tc>
        <w:tc>
          <w:tcPr>
            <w:tcW w:type="dxa" w:w="4320"/>
          </w:tcPr>
          <w:p>
            <w:pPr>
              <w:spacing w:before="0" w:after="0"/>
            </w:pPr>
            <w:r>
              <w:rPr>
                <w:b/>
                <w:sz w:val="18"/>
              </w:rPr>
              <w:t>Valor</w:t>
            </w:r>
          </w:p>
        </w:tc>
      </w:tr>
      <w:tr>
        <w:tc>
          <w:tcPr>
            <w:tcW w:type="dxa" w:w="4320"/>
          </w:tcPr>
          <w:p>
            <w:pPr>
              <w:spacing w:before="0" w:after="0"/>
            </w:pPr>
            <w:r>
              <w:rPr>
                <w:sz w:val="18"/>
              </w:rPr>
              <w:t>Boletas incluidas en el acumulado (N°)</w:t>
            </w:r>
          </w:p>
        </w:tc>
        <w:tc>
          <w:tcPr>
            <w:tcW w:type="dxa" w:w="4320"/>
          </w:tcPr>
          <w:p>
            <w:pPr>
              <w:spacing w:before="0" w:after="0"/>
            </w:pPr>
            <w:r>
              <w:rPr>
                <w:sz w:val="18"/>
              </w:rPr>
              <w:t>10</w:t>
            </w:r>
          </w:p>
        </w:tc>
      </w:tr>
      <w:tr>
        <w:tc>
          <w:tcPr>
            <w:tcW w:type="dxa" w:w="4320"/>
          </w:tcPr>
          <w:p>
            <w:pPr>
              <w:spacing w:before="0" w:after="0"/>
            </w:pPr>
            <w:r>
              <w:rPr>
                <w:sz w:val="18"/>
              </w:rPr>
              <w:t>Total m³ facturación (cuenta, suma boletas)</w:t>
            </w:r>
          </w:p>
        </w:tc>
        <w:tc>
          <w:tcPr>
            <w:tcW w:type="dxa" w:w="4320"/>
          </w:tcPr>
          <w:p>
            <w:pPr>
              <w:spacing w:before="0" w:after="0"/>
            </w:pPr>
            <w:r>
              <w:rPr>
                <w:sz w:val="18"/>
              </w:rPr>
              <w:t>5.331</w:t>
            </w:r>
          </w:p>
        </w:tc>
      </w:tr>
      <w:tr>
        <w:tc>
          <w:tcPr>
            <w:tcW w:type="dxa" w:w="4320"/>
          </w:tcPr>
          <w:p>
            <w:pPr>
              <w:spacing w:before="0" w:after="0"/>
            </w:pPr>
            <w:r>
              <w:rPr>
                <w:sz w:val="18"/>
              </w:rPr>
              <w:t>Total m³ App WES (suma períodos)</w:t>
            </w:r>
          </w:p>
        </w:tc>
        <w:tc>
          <w:tcPr>
            <w:tcW w:type="dxa" w:w="4320"/>
          </w:tcPr>
          <w:p>
            <w:pPr>
              <w:spacing w:before="0" w:after="0"/>
            </w:pPr>
            <w:r>
              <w:rPr>
                <w:sz w:val="18"/>
              </w:rPr>
              <w:t>17.467</w:t>
            </w:r>
          </w:p>
        </w:tc>
      </w:tr>
      <w:tr>
        <w:tc>
          <w:tcPr>
            <w:tcW w:type="dxa" w:w="4320"/>
          </w:tcPr>
          <w:p>
            <w:pPr>
              <w:spacing w:before="0" w:after="0"/>
            </w:pPr>
            <w:r>
              <w:rPr>
                <w:sz w:val="18"/>
              </w:rPr>
              <w:t>Diferencia (facturación − App WES)</w:t>
            </w:r>
          </w:p>
        </w:tc>
        <w:tc>
          <w:tcPr>
            <w:tcW w:type="dxa" w:w="4320"/>
          </w:tcPr>
          <w:p>
            <w:pPr>
              <w:spacing w:before="0" w:after="0"/>
            </w:pPr>
            <w:r>
              <w:rPr>
                <w:sz w:val="18"/>
              </w:rPr>
              <w:t>-12.136</w:t>
            </w:r>
          </w:p>
        </w:tc>
      </w:tr>
      <w:tr>
        <w:tc>
          <w:tcPr>
            <w:tcW w:type="dxa" w:w="4320"/>
          </w:tcPr>
          <w:p>
            <w:pPr>
              <w:spacing w:before="0" w:after="0"/>
            </w:pPr>
            <w:r>
              <w:rPr>
                <w:sz w:val="18"/>
              </w:rPr>
              <w:t>% diferencia vs facturación</w:t>
            </w:r>
          </w:p>
        </w:tc>
        <w:tc>
          <w:tcPr>
            <w:tcW w:type="dxa" w:w="4320"/>
          </w:tcPr>
          <w:p>
            <w:pPr>
              <w:spacing w:before="0" w:after="0"/>
            </w:pPr>
            <w:r>
              <w:rPr>
                <w:sz w:val="18"/>
              </w:rPr>
              <w:t>-227,6%</w:t>
            </w:r>
          </w:p>
        </w:tc>
      </w:tr>
    </w:tbl>
    <w:p/>
    <w:p>
      <w:pPr>
        <w:jc w:val="left"/>
      </w:pPr>
      <w:r>
        <w:t>Gráfico — total acumulado: barra izquierda suma App WES, barra derecha suma facturación en cuenta (misma base que la tabla; solo facturaciones con ambas lecturas ≥ 06-06-2025).</w:t>
      </w:r>
    </w:p>
    <w:p>
      <w:r>
        <w:drawing>
          <wp:inline xmlns:a="http://schemas.openxmlformats.org/drawingml/2006/main" xmlns:pic="http://schemas.openxmlformats.org/drawingml/2006/picture">
            <wp:extent cx="5303520" cy="3229388"/>
            <wp:docPr id="5" name="Picture 5"/>
            <wp:cNvGraphicFramePr>
              <a:graphicFrameLocks noChangeAspect="1"/>
            </wp:cNvGraphicFramePr>
            <a:graphic>
              <a:graphicData uri="http://schemas.openxmlformats.org/drawingml/2006/picture">
                <pic:pic>
                  <pic:nvPicPr>
                    <pic:cNvPr id="0" name="chart_barras_gimnasio_total_acumulado_20260513_213607.png"/>
                    <pic:cNvPicPr/>
                  </pic:nvPicPr>
                  <pic:blipFill>
                    <a:blip r:embed="rId13"/>
                    <a:stretch>
                      <a:fillRect/>
                    </a:stretch>
                  </pic:blipFill>
                  <pic:spPr>
                    <a:xfrm>
                      <a:off x="0" y="0"/>
                      <a:ext cx="5303520" cy="3229388"/>
                    </a:xfrm>
                    <a:prstGeom prst="rect"/>
                  </pic:spPr>
                </pic:pic>
              </a:graphicData>
            </a:graphic>
          </wp:inline>
        </w:drawing>
      </w:r>
    </w:p>
    <w:p>
      <w:pPr>
        <w:pStyle w:val="Heading1"/>
      </w:pPr>
      <w:r>
        <w:t>3. Referencias</w:t>
      </w:r>
    </w:p>
    <w:p>
      <w:r>
        <w:t>Facturas incluidas en tablas, gráficos y total acumulado (lecturas ≥ 06-06-2025), por lectura actual:</w:t>
        <w:br/>
        <w:t>- HIST-20250728</w:t>
        <w:br/>
        <w:t>- HIST-20250827</w:t>
        <w:br/>
        <w:t>- HIST-20250926</w:t>
        <w:br/>
        <w:t>- HIST-20251027</w:t>
        <w:br/>
        <w:t>- HIST-20251125</w:t>
        <w:br/>
        <w:t>- HIST-20251227</w:t>
        <w:br/>
        <w:t>- HIST-20260127</w:t>
        <w:br/>
        <w:t>- HIST-20260225</w:t>
        <w:br/>
        <w:t>- HIST-20260327</w:t>
        <w:br/>
        <w:t>- HIST-20260427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Comparación App WES vs Facturaciones Aguas Andinas</dc:title>
  <dc:subject>000017-05 — Gimnasio municipal (000017-05) — Renca</dc:subject>
  <dc:creator>Script informe Gimnasio municipal Renca</dc:creator>
  <cp:keywords>WES; Aguas Andinas; Gimnasio municipal; Renca; facturación; consumo</cp:keywords>
  <dc:description>Informe generado automáticamente: facturas Aguas Andinas (PDF/CSV/OCR) vs consumo API nodo WES.</dc:description>
  <cp:lastModifiedBy>Script informe Gimnasio municipal Renca</cp:lastModifiedBy>
  <cp:revision>1</cp:revision>
  <dcterms:created xsi:type="dcterms:W3CDTF">2026-05-13T21:36:07-04:00</dcterms:created>
  <dcterms:modified xsi:type="dcterms:W3CDTF">2026-05-13T21:36:07-04:00</dcterms:modified>
  <cp:category>Informe comparativo</cp:category>
</cp:coreProperties>
</file>