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788"/>
        </w:rPr>
        <w:t>Comparación App WES vs Facturaciones Aguas Andinas</w:t>
      </w:r>
    </w:p>
    <w:p>
      <w:r>
        <w:rPr>
          <w:b/>
        </w:rPr>
        <w:t xml:space="preserve">Empresa: </w:t>
      </w:r>
      <w:r>
        <w:t>Renca</w:t>
      </w:r>
    </w:p>
    <w:p>
      <w:r>
        <w:rPr>
          <w:b/>
        </w:rPr>
        <w:t xml:space="preserve">Nodo: </w:t>
      </w:r>
      <w:r>
        <w:t>000017-08 — ICCO Renca (000017-08)</w:t>
      </w:r>
    </w:p>
    <w:p>
      <w:r>
        <w:rPr>
          <w:b/>
        </w:rPr>
        <w:t xml:space="preserve">Fuente facturas: </w:t>
      </w:r>
      <w:r>
        <w:t>C:\Users\aniba\OneDrive\Desktop\wes-scripts\reports\Renca\Coparacion App con Aguas Andinas\ICCO facturas</w:t>
      </w:r>
    </w:p>
    <w:p>
      <w:r>
        <w:rPr>
          <w:b/>
        </w:rPr>
        <w:t xml:space="preserve">Generado: </w:t>
      </w:r>
      <w:r>
        <w:t>08-05-2026 10:07</w:t>
      </w:r>
    </w:p>
    <w:p/>
    <w:p>
      <w:pPr>
        <w:pStyle w:val="Heading1"/>
      </w:pPr>
      <w:r>
        <w:t>1. Alcance y criterio de comparación</w:t>
      </w:r>
    </w:p>
    <w:p>
      <w:r>
        <w:t>Para cada boleta, se compara el consumo total facturado (m³) con el consumo total registrado por WES en el nodo indicado, para el período entre «Lectura anterior» y «Lectura actual» informados en la factura. Las diferencias pueden explicarse por alcances hidráulicos distintos (medidor principal vs subred), pérdidas/derivaciones no medidas por el punto, y diferencias de sincronización/calendario del período.</w:t>
      </w:r>
    </w:p>
    <w:p>
      <w:r>
        <w:t>Importante: el punto WES no siempre estuvo midiendo el mismo tramo hidráulico ni en condiciones de operación normal. Hasta noviembre 2025 el registro está afectado por operación con bypass y/o uso intermitente de la sala de bombas, por lo que la comparación App vs Facturación no es representativa. Existe un período de transición (11-dic-2025 a 08-ene-2026) donde se observan ajustes y estabilización. Desde el fin de esa transición en adelante, el funcionamiento se considera más alineado con la medición correcta y la comparación es la referencia principal (aun así, pueden existir diferencias).</w:t>
      </w:r>
    </w:p>
    <w:p>
      <w:pPr>
        <w:pStyle w:val="Heading1"/>
      </w:pPr>
      <w:r>
        <w:t>2. Resumen por período de factura (últimas facturaciones)</w:t>
      </w:r>
    </w:p>
    <w:p>
      <w:pPr>
        <w:keepNext/>
      </w:pPr>
      <w:r>
        <w:t>Tabla A — Períodos fuera de rango (hasta noviembre 2025): en este período se estaba monitoreando, pero el lugar de monitoreo / la tubería solo contabilizaba lo que salía por la sala de bombas. En muchas ocasiones la sala de bombas no fue utilizada y se usó directamente el suministro desde la matriz del medidor, a través del bypass (configuración estándar de estas salas). Por lo tanto, esta comparación no es representativa.</w:t>
      </w:r>
    </w:p>
    <w:p>
      <w:pPr>
        <w:keepNext/>
      </w:pPr>
      <w:r>
        <w:rPr>
          <w:b/>
        </w:rPr>
        <w:t>Períodos fuera de rango (bypass)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Período (lecturas)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Emisión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N° factura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Medidor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m³ facturado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m³ App (WES)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Días (WES)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Dif (fact - 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% Dif vs Fact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10-abr-2025 → 12-may-2025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16-may-2025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8564565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20100027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1.852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1.852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12-may-2025 → 11-jun-2025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16-jun-2025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8620897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20100027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1.658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1,1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1.656,9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99,9%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11-jun-2025 → 10-jul-2025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17-jul-2025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8677816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20100027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1.594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0,5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19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1.593,5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10-jul-2025 → 11-ago-2025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16-ago-2025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8733835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20100027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1.592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1.592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11-ago-2025 → 10-sep-2025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15-sep-2025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8789768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20100027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1.104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116,1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987,9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89,5%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10-sep-2025 → 10-oct-2025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16-oct-2025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8846214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20100027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1.425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667,2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31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757,8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53,2%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10-oct-2025 → 10-nov-2025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17-nov-2025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8902630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20100027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1.639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1.451,3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187,7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11,5%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10-nov-2025 → 11-dic-2025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17-dic-2025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8960979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20100027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1.496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441,6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1.054,4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70,5%</w:t>
            </w:r>
          </w:p>
        </w:tc>
      </w:tr>
    </w:tbl>
    <w:p/>
    <w:p>
      <w:pPr>
        <w:keepNext/>
      </w:pPr>
      <w:r>
        <w:t>Tabla B — Períodos de transición (11-dic-2025 a 08-ene-2026): estos ciclos corresponden a ajustes y estabilización, por lo que pueden mezclar días en bypass/intermitencia y días ya alineados.</w:t>
      </w:r>
    </w:p>
    <w:p>
      <w:pPr>
        <w:keepNext/>
      </w:pPr>
      <w:r>
        <w:rPr>
          <w:b/>
        </w:rPr>
        <w:t>Períodos de transición (11-dic-2025 a 08-ene-2026)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Período (lecturas)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Emisión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N° factura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Medidor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m³ facturado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m³ App (WES)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Días (WES)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Dif (fact - 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% Dif vs Fact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11-dic-2025 → 08-ene-2026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16-jan-2026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9019235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20100027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1.027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775,7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29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251,3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24,5%</w:t>
            </w:r>
          </w:p>
        </w:tc>
      </w:tr>
    </w:tbl>
    <w:p/>
    <w:p>
      <w:pPr>
        <w:keepNext/>
      </w:pPr>
      <w:r>
        <w:t>Tabla C — Períodos alineados (posterior a 08-ene-2026): desde este momento en adelante el sistema se considera más consistente y el equipo WES mide el flujo correcto (sin bypass). La columna «% Dif vs Fact» muestra el porcentaje de diferencia respecto a la facturación, para dejar explícito el error relativo.</w:t>
      </w:r>
    </w:p>
    <w:p>
      <w:pPr>
        <w:keepNext/>
      </w:pPr>
      <w:r>
        <w:rPr>
          <w:b/>
        </w:rPr>
        <w:t>Períodos alineados (posterior a 08-ene-2026)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Período (lecturas)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Emisión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N° factura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Medidor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m³ facturado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m³ App (WES)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Días (WES)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Dif (fact - WES)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b/>
                <w:sz w:val="18"/>
              </w:rPr>
              <w:t>% Dif vs Fact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08-ene-2026 → 12-feb-2026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16-feb-2026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9075418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20100027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1.263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1.265,9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-2,9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-0,2%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12-feb-2026 → 16-mar-2026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18-mar-2026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9131949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20100027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759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758,7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31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0,3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0%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16-mar-2026 → 14-abr-2026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16-abr-2026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9188945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20100027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990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1.020,2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-30,2</w:t>
            </w:r>
          </w:p>
        </w:tc>
        <w:tc>
          <w:tcPr>
            <w:tcW w:type="dxa" w:w="960"/>
          </w:tcPr>
          <w:p>
            <w:pPr>
              <w:spacing w:before="0" w:after="0"/>
            </w:pPr>
            <w:r>
              <w:rPr>
                <w:sz w:val="18"/>
              </w:rPr>
              <w:t>-3,1%</w:t>
            </w:r>
          </w:p>
        </w:tc>
      </w:tr>
    </w:tbl>
    <w:p/>
    <w:p>
      <w:pPr>
        <w:jc w:val="left"/>
      </w:pPr>
      <w:r>
        <w:t>Gráfico de barras — mismas cuatro facturas que arriba. En cada grupo, la barra de la izquierda es el consumo total del período según la app WES (API del nodo); la de la derecha, el consumo total facturado en la boleta. Dos tonos de azul (WES más claro, facturación más oscura).</w:t>
      </w:r>
    </w:p>
    <w:p>
      <w:r>
        <w:drawing>
          <wp:inline xmlns:a="http://schemas.openxmlformats.org/drawingml/2006/main" xmlns:pic="http://schemas.openxmlformats.org/drawingml/2006/picture">
            <wp:extent cx="6126480" cy="2738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rras_dos_azules_wes_vs_facturacion_20260508_1007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38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Referencias</w:t>
      </w:r>
    </w:p>
    <w:p>
      <w:r>
        <w:t>Facturas analizadas (en orden cronológico por lectura actual):</w:t>
        <w:br/>
        <w:t>- 8564565</w:t>
        <w:br/>
        <w:t>- 8620897</w:t>
        <w:br/>
        <w:t>- 8677816</w:t>
        <w:br/>
        <w:t>- 8733835</w:t>
        <w:br/>
        <w:t>- 8789768</w:t>
        <w:br/>
        <w:t>- 8846214</w:t>
        <w:br/>
        <w:t>- 8902630</w:t>
        <w:br/>
        <w:t>- 8960979</w:t>
        <w:br/>
        <w:t>- 9019235</w:t>
        <w:br/>
        <w:t>- 9075418</w:t>
        <w:br/>
        <w:t>- 9131949</w:t>
        <w:br/>
        <w:t>- 9188945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Comparación App WES vs Facturaciones Aguas Andinas</dc:title>
  <dc:subject>000017-08 — ICCO Renca (000017-08) — Renca</dc:subject>
  <dc:creator>Script informe ICCO Renca</dc:creator>
  <cp:keywords>WES; Aguas Andinas; ICCO; Renca; facturación; consumo</cp:keywords>
  <dc:description>Informe generado automáticamente: facturas Aguas Andinas (PDF) vs consumo API nodo WES.</dc:description>
  <cp:lastModifiedBy>Script informe ICCO Renca</cp:lastModifiedBy>
  <cp:revision>1</cp:revision>
  <dcterms:created xsi:type="dcterms:W3CDTF">2026-05-08T10:07:08-04:00</dcterms:created>
  <dcterms:modified xsi:type="dcterms:W3CDTF">2026-05-08T10:07:08-04:00</dcterms:modified>
  <cp:category>Informe comparativo</cp:category>
</cp:coreProperties>
</file>