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788"/>
        </w:rPr>
        <w:t>Comparación App WES vs Facturaciones Aguas Andinas</w:t>
      </w:r>
    </w:p>
    <w:p>
      <w:r>
        <w:rPr>
          <w:b/>
        </w:rPr>
        <w:t xml:space="preserve">Empresa: </w:t>
      </w:r>
      <w:r>
        <w:t>Renca</w:t>
      </w:r>
    </w:p>
    <w:p>
      <w:r>
        <w:rPr>
          <w:b/>
        </w:rPr>
        <w:t xml:space="preserve">Nodo: </w:t>
      </w:r>
      <w:r>
        <w:t>000017-08 — ICCO Renca (000017-08)</w:t>
      </w:r>
    </w:p>
    <w:p>
      <w:r>
        <w:rPr>
          <w:b/>
        </w:rPr>
        <w:t xml:space="preserve">Fuente facturas: </w:t>
      </w:r>
      <w:r>
        <w:t>C:\Users\aniba\OneDrive\Desktop\wes-scripts\reports\Renca\Coparacion App con Aguas Andinas\ICCO facturas</w:t>
      </w:r>
    </w:p>
    <w:p>
      <w:r>
        <w:rPr>
          <w:b/>
        </w:rPr>
        <w:t xml:space="preserve">Generado: </w:t>
      </w:r>
      <w:r>
        <w:t>12-05-2026 14:36</w:t>
      </w:r>
    </w:p>
    <w:p/>
    <w:p>
      <w:pPr>
        <w:pStyle w:val="Heading1"/>
      </w:pPr>
      <w:r>
        <w:t>1. Alcance y criterio de comparación</w:t>
      </w:r>
    </w:p>
    <w:p>
      <w:r>
        <w:t>Para cada boleta, se compara el consumo total facturado (m³) con el consumo total registrado por WES en el nodo indicado, para el período entre «Lectura anterior» y «Lectura actual» informados en la factura. Las diferencias pueden explicarse por alcances hidráulicos distintos (medidor principal vs subred), pérdidas/derivaciones no medidas por el punto, y diferencias de sincronización/calendario del período.</w:t>
      </w:r>
    </w:p>
    <w:p>
      <w:r>
        <w:t>Importante: el punto WES no siempre estuvo midiendo el mismo tramo hidráulico ni en condiciones de operación normal. Para la evaluación con sentido operacional se considera el monitoreo a partir del 26-08-2025 (inicio de monitoreo de referencia). Hasta antes de la transición posterior, el registro está afectado por operación con bypass y/o uso intermitente de la sala de bombas, por lo que la comparación App vs Facturación suele no ser representativa. En el cruce con el Excel comparativo facturación vs app, el único ciclo mensual que aparece alineado («cuadrado») en ese tramo es el período entre lecturas 11-oct-2025 y 11-nov-2025; el resto de ciclos en esa etapa muestra desalineación acorde a la configuración hidráulica descrita. Existe un período de transición (11-dic-2025 a 08-ene-2026) donde se observan ajustes y estabilización. Desde el fin de esa transición en adelante, el funcionamiento se considera más alineado con la medición correcta y la comparación es la referencia principal (aun así, pueden existir diferencias).</w:t>
      </w:r>
    </w:p>
    <w:p>
      <w:r>
        <w:t>Las tablas, gráficos por período y el total acumulado de la sección 2 incluyen únicamente boletas cuya «Lectura anterior» y «Lectura actual» son el 28-09-2025 o posteriores. En ciclos anteriores o con alguna lectura previa a esa fecha, la cuenta suele reflejar liquidación por promedio estimado u homologación sin contraste de punta a punta con el punto WES en ese tramo.</w:t>
      </w:r>
    </w:p>
    <w:p>
      <w:pPr>
        <w:pStyle w:val="Heading2"/>
      </w:pPr>
      <w:r>
        <w:t>1.1 Boletas fuera del cuadro comparativo (lecturas anteriores al 28-09-2025)</w:t>
      </w:r>
    </w:p>
    <w:p>
      <w:r>
        <w:t>Las siguientes boletas no entran en las tablas 2 ni en los gráficos ni en el total acumulado; suelen corresponder a promedio estimado o períodos no homologables con el monitoreo WES en el tramo indicado.</w:t>
      </w:r>
    </w:p>
    <w:p>
      <w:pPr>
        <w:pStyle w:val="ListBullet"/>
      </w:pPr>
      <w:r>
        <w:t>N° 8564565 — 10-abr-2025 → 12-may-2025 (m³ facturados en boleta: 1852)</w:t>
      </w:r>
    </w:p>
    <w:p>
      <w:pPr>
        <w:pStyle w:val="ListBullet"/>
      </w:pPr>
      <w:r>
        <w:t>N° 8620897 — 12-may-2025 → 11-jun-2025 (m³ facturados en boleta: 1658)</w:t>
      </w:r>
    </w:p>
    <w:p>
      <w:pPr>
        <w:pStyle w:val="ListBullet"/>
      </w:pPr>
      <w:r>
        <w:t>N° 8677816 — 11-jun-2025 → 10-jul-2025 (m³ facturados en boleta: 1594)</w:t>
      </w:r>
    </w:p>
    <w:p>
      <w:pPr>
        <w:pStyle w:val="ListBullet"/>
      </w:pPr>
      <w:r>
        <w:t>N° 8733835 — 10-jul-2025 → 11-ago-2025 (m³ facturados en boleta: 1592)</w:t>
      </w:r>
    </w:p>
    <w:p>
      <w:pPr>
        <w:pStyle w:val="ListBullet"/>
      </w:pPr>
      <w:r>
        <w:t>N° 8789768 — 11-ago-2025 → 10-sep-2025 (m³ facturados en boleta: 1104)</w:t>
      </w:r>
    </w:p>
    <w:p>
      <w:pPr>
        <w:pStyle w:val="ListBullet"/>
      </w:pPr>
      <w:r>
        <w:t>N° 8846214 — 10-sep-2025 → 10-oct-2025 (m³ facturados en boleta: 1425)</w:t>
      </w:r>
    </w:p>
    <w:p>
      <w:pPr>
        <w:pStyle w:val="Heading1"/>
      </w:pPr>
      <w:r>
        <w:t>2. Resumen por período de factura (lecturas ≥ 28-09-2025)</w:t>
      </w:r>
    </w:p>
    <w:p>
      <w:pPr>
        <w:keepNext/>
      </w:pPr>
      <w:r>
        <w:t>Tabla A — Períodos fuera de rango (bypass), solo lecturas ≥ 28-09-2025: operación no representativa (bypass / sala de bombas). Referencia narrativa de monitoreo 26-08-2025; en Excel, ciclo alineado entre 11-oct-2025 y 11-nov-2025.</w:t>
      </w:r>
    </w:p>
    <w:p>
      <w:pPr>
        <w:keepNext/>
      </w:pPr>
      <w:r>
        <w:rPr>
          <w:b/>
        </w:rPr>
        <w:t>Períodos fuera de rango (bypass)</w:t>
      </w:r>
    </w:p>
    <w:tbl>
      <w:tblPr>
        <w:tblStyle w:val="TableGrid"/>
        <w:jc w:val="center"/>
        <w:tblLook w:firstColumn="1" w:firstRow="1" w:lastColumn="0" w:lastRow="0" w:noHBand="0" w:noVBand="1" w:val="04A0"/>
        <w:tblW w:w="5000" w:type="pct"/>
        <w:tblLayout w:type="fixed"/>
      </w:tblPr>
      <w:tblGrid>
        <w:gridCol w:w="960"/>
        <w:gridCol w:w="960"/>
        <w:gridCol w:w="960"/>
        <w:gridCol w:w="960"/>
        <w:gridCol w:w="960"/>
        <w:gridCol w:w="960"/>
        <w:gridCol w:w="960"/>
        <w:gridCol w:w="960"/>
        <w:gridCol w:w="960"/>
      </w:tblGrid>
      <w:tr>
        <w:trPr>
          <w:tblHeader w:val="true"/>
        </w:trPr>
        <w:tc>
          <w:tcPr>
            <w:tcW w:type="dxa" w:w="960"/>
          </w:tcPr>
          <w:p>
            <w:pPr>
              <w:spacing w:before="0" w:after="0"/>
            </w:pPr>
            <w:r>
              <w:rPr>
                <w:b/>
                <w:sz w:val="18"/>
              </w:rPr>
              <w:t>Período (lecturas)</w:t>
            </w:r>
          </w:p>
        </w:tc>
        <w:tc>
          <w:tcPr>
            <w:tcW w:type="dxa" w:w="960"/>
          </w:tcPr>
          <w:p>
            <w:pPr>
              <w:spacing w:before="0" w:after="0"/>
            </w:pPr>
            <w:r>
              <w:rPr>
                <w:b/>
                <w:sz w:val="18"/>
              </w:rPr>
              <w:t>Emisión</w:t>
            </w:r>
          </w:p>
        </w:tc>
        <w:tc>
          <w:tcPr>
            <w:tcW w:type="dxa" w:w="960"/>
          </w:tcPr>
          <w:p>
            <w:pPr>
              <w:spacing w:before="0" w:after="0"/>
            </w:pPr>
            <w:r>
              <w:rPr>
                <w:b/>
                <w:sz w:val="18"/>
              </w:rPr>
              <w:t>N° factura</w:t>
            </w:r>
          </w:p>
        </w:tc>
        <w:tc>
          <w:tcPr>
            <w:tcW w:type="dxa" w:w="960"/>
          </w:tcPr>
          <w:p>
            <w:pPr>
              <w:spacing w:before="0" w:after="0"/>
            </w:pPr>
            <w:r>
              <w:rPr>
                <w:b/>
                <w:sz w:val="18"/>
              </w:rPr>
              <w:t>Medidor</w:t>
            </w:r>
          </w:p>
        </w:tc>
        <w:tc>
          <w:tcPr>
            <w:tcW w:type="dxa" w:w="960"/>
          </w:tcPr>
          <w:p>
            <w:pPr>
              <w:spacing w:before="0" w:after="0"/>
            </w:pPr>
            <w:r>
              <w:rPr>
                <w:b/>
                <w:sz w:val="18"/>
              </w:rPr>
              <w:t>m³ facturado</w:t>
            </w:r>
          </w:p>
        </w:tc>
        <w:tc>
          <w:tcPr>
            <w:tcW w:type="dxa" w:w="960"/>
          </w:tcPr>
          <w:p>
            <w:pPr>
              <w:spacing w:before="0" w:after="0"/>
            </w:pPr>
            <w:r>
              <w:rPr>
                <w:b/>
                <w:sz w:val="18"/>
              </w:rPr>
              <w:t>m³ App (WES)</w:t>
            </w:r>
          </w:p>
        </w:tc>
        <w:tc>
          <w:tcPr>
            <w:tcW w:type="dxa" w:w="960"/>
          </w:tcPr>
          <w:p>
            <w:pPr>
              <w:spacing w:before="0" w:after="0"/>
            </w:pPr>
            <w:r>
              <w:rPr>
                <w:b/>
                <w:sz w:val="18"/>
              </w:rPr>
              <w:t>Días (WES)</w:t>
            </w:r>
          </w:p>
        </w:tc>
        <w:tc>
          <w:tcPr>
            <w:tcW w:type="dxa" w:w="960"/>
          </w:tcPr>
          <w:p>
            <w:pPr>
              <w:spacing w:before="0" w:after="0"/>
            </w:pPr>
            <w:r>
              <w:rPr>
                <w:b/>
                <w:sz w:val="18"/>
              </w:rPr>
              <w:t>Dif (fact - WES)</w:t>
            </w:r>
          </w:p>
        </w:tc>
        <w:tc>
          <w:tcPr>
            <w:tcW w:type="dxa" w:w="960"/>
          </w:tcPr>
          <w:p>
            <w:pPr>
              <w:spacing w:before="0" w:after="0"/>
            </w:pPr>
            <w:r>
              <w:rPr>
                <w:b/>
                <w:sz w:val="18"/>
              </w:rPr>
              <w:t>% Dif vs Fact</w:t>
            </w:r>
          </w:p>
        </w:tc>
      </w:tr>
      <w:tr>
        <w:tc>
          <w:tcPr>
            <w:tcW w:type="dxa" w:w="960"/>
          </w:tcPr>
          <w:p>
            <w:pPr>
              <w:spacing w:before="0" w:after="0"/>
            </w:pPr>
            <w:r>
              <w:rPr>
                <w:sz w:val="18"/>
              </w:rPr>
              <w:t>10-oct-2025 → 10-nov-2025</w:t>
            </w:r>
          </w:p>
        </w:tc>
        <w:tc>
          <w:tcPr>
            <w:tcW w:type="dxa" w:w="960"/>
          </w:tcPr>
          <w:p>
            <w:pPr>
              <w:spacing w:before="0" w:after="0"/>
            </w:pPr>
            <w:r>
              <w:rPr>
                <w:sz w:val="18"/>
              </w:rPr>
              <w:t>17-nov-2025</w:t>
            </w:r>
          </w:p>
        </w:tc>
        <w:tc>
          <w:tcPr>
            <w:tcW w:type="dxa" w:w="960"/>
          </w:tcPr>
          <w:p>
            <w:pPr>
              <w:spacing w:before="0" w:after="0"/>
            </w:pPr>
            <w:r>
              <w:rPr>
                <w:sz w:val="18"/>
              </w:rPr>
              <w:t>8902630</w:t>
            </w:r>
          </w:p>
        </w:tc>
        <w:tc>
          <w:tcPr>
            <w:tcW w:type="dxa" w:w="960"/>
          </w:tcPr>
          <w:p>
            <w:pPr>
              <w:spacing w:before="0" w:after="0"/>
            </w:pPr>
            <w:r>
              <w:rPr>
                <w:sz w:val="18"/>
              </w:rPr>
              <w:t>20100027</w:t>
            </w:r>
          </w:p>
        </w:tc>
        <w:tc>
          <w:tcPr>
            <w:tcW w:type="dxa" w:w="960"/>
          </w:tcPr>
          <w:p>
            <w:pPr>
              <w:spacing w:before="0" w:after="0"/>
            </w:pPr>
            <w:r>
              <w:rPr>
                <w:sz w:val="18"/>
              </w:rPr>
              <w:t>1.639</w:t>
            </w:r>
          </w:p>
        </w:tc>
        <w:tc>
          <w:tcPr>
            <w:tcW w:type="dxa" w:w="960"/>
          </w:tcPr>
          <w:p>
            <w:pPr>
              <w:spacing w:before="0" w:after="0"/>
            </w:pPr>
            <w:r>
              <w:rPr>
                <w:sz w:val="18"/>
              </w:rPr>
              <w:t>1.451,3</w:t>
            </w:r>
          </w:p>
        </w:tc>
        <w:tc>
          <w:tcPr>
            <w:tcW w:type="dxa" w:w="960"/>
          </w:tcPr>
          <w:p>
            <w:pPr>
              <w:spacing w:before="0" w:after="0"/>
            </w:pPr>
            <w:r>
              <w:rPr>
                <w:sz w:val="18"/>
              </w:rPr>
              <w:t>32</w:t>
            </w:r>
          </w:p>
        </w:tc>
        <w:tc>
          <w:tcPr>
            <w:tcW w:type="dxa" w:w="960"/>
          </w:tcPr>
          <w:p>
            <w:pPr>
              <w:spacing w:before="0" w:after="0"/>
            </w:pPr>
            <w:r>
              <w:rPr>
                <w:sz w:val="18"/>
              </w:rPr>
              <w:t>187,7</w:t>
            </w:r>
          </w:p>
        </w:tc>
        <w:tc>
          <w:tcPr>
            <w:tcW w:type="dxa" w:w="960"/>
          </w:tcPr>
          <w:p>
            <w:pPr>
              <w:spacing w:before="0" w:after="0"/>
            </w:pPr>
            <w:r>
              <w:rPr>
                <w:sz w:val="18"/>
              </w:rPr>
              <w:t>11,5%</w:t>
            </w:r>
          </w:p>
        </w:tc>
      </w:tr>
      <w:tr>
        <w:tc>
          <w:tcPr>
            <w:tcW w:type="dxa" w:w="960"/>
          </w:tcPr>
          <w:p>
            <w:pPr>
              <w:spacing w:before="0" w:after="0"/>
            </w:pPr>
            <w:r>
              <w:rPr>
                <w:sz w:val="18"/>
              </w:rPr>
              <w:t>10-nov-2025 → 11-dic-2025</w:t>
            </w:r>
          </w:p>
        </w:tc>
        <w:tc>
          <w:tcPr>
            <w:tcW w:type="dxa" w:w="960"/>
          </w:tcPr>
          <w:p>
            <w:pPr>
              <w:spacing w:before="0" w:after="0"/>
            </w:pPr>
            <w:r>
              <w:rPr>
                <w:sz w:val="18"/>
              </w:rPr>
              <w:t>17-dic-2025</w:t>
            </w:r>
          </w:p>
        </w:tc>
        <w:tc>
          <w:tcPr>
            <w:tcW w:type="dxa" w:w="960"/>
          </w:tcPr>
          <w:p>
            <w:pPr>
              <w:spacing w:before="0" w:after="0"/>
            </w:pPr>
            <w:r>
              <w:rPr>
                <w:sz w:val="18"/>
              </w:rPr>
              <w:t>8960979</w:t>
            </w:r>
          </w:p>
        </w:tc>
        <w:tc>
          <w:tcPr>
            <w:tcW w:type="dxa" w:w="960"/>
          </w:tcPr>
          <w:p>
            <w:pPr>
              <w:spacing w:before="0" w:after="0"/>
            </w:pPr>
            <w:r>
              <w:rPr>
                <w:sz w:val="18"/>
              </w:rPr>
              <w:t>20100027</w:t>
            </w:r>
          </w:p>
        </w:tc>
        <w:tc>
          <w:tcPr>
            <w:tcW w:type="dxa" w:w="960"/>
          </w:tcPr>
          <w:p>
            <w:pPr>
              <w:spacing w:before="0" w:after="0"/>
            </w:pPr>
            <w:r>
              <w:rPr>
                <w:sz w:val="18"/>
              </w:rPr>
              <w:t>1.496</w:t>
            </w:r>
          </w:p>
        </w:tc>
        <w:tc>
          <w:tcPr>
            <w:tcW w:type="dxa" w:w="960"/>
          </w:tcPr>
          <w:p>
            <w:pPr>
              <w:spacing w:before="0" w:after="0"/>
            </w:pPr>
            <w:r>
              <w:rPr>
                <w:sz w:val="18"/>
              </w:rPr>
              <w:t>441,6</w:t>
            </w:r>
          </w:p>
        </w:tc>
        <w:tc>
          <w:tcPr>
            <w:tcW w:type="dxa" w:w="960"/>
          </w:tcPr>
          <w:p>
            <w:pPr>
              <w:spacing w:before="0" w:after="0"/>
            </w:pPr>
            <w:r>
              <w:rPr>
                <w:sz w:val="18"/>
              </w:rPr>
              <w:t>32</w:t>
            </w:r>
          </w:p>
        </w:tc>
        <w:tc>
          <w:tcPr>
            <w:tcW w:type="dxa" w:w="960"/>
          </w:tcPr>
          <w:p>
            <w:pPr>
              <w:spacing w:before="0" w:after="0"/>
            </w:pPr>
            <w:r>
              <w:rPr>
                <w:sz w:val="18"/>
              </w:rPr>
              <w:t>1.054,4</w:t>
            </w:r>
          </w:p>
        </w:tc>
        <w:tc>
          <w:tcPr>
            <w:tcW w:type="dxa" w:w="960"/>
          </w:tcPr>
          <w:p>
            <w:pPr>
              <w:spacing w:before="0" w:after="0"/>
            </w:pPr>
            <w:r>
              <w:rPr>
                <w:sz w:val="18"/>
              </w:rPr>
              <w:t>70,5%</w:t>
            </w:r>
          </w:p>
        </w:tc>
      </w:tr>
    </w:tbl>
    <w:p/>
    <w:p>
      <w:pPr>
        <w:keepNext/>
      </w:pPr>
      <w:r>
        <w:t>Tabla B — Períodos de transición (11-dic-2025 a 08-ene-2026), solo lecturas ≥ 28-09-2025: ajustes y estabilización.</w:t>
      </w:r>
    </w:p>
    <w:p>
      <w:pPr>
        <w:keepNext/>
      </w:pPr>
      <w:r>
        <w:rPr>
          <w:b/>
        </w:rPr>
        <w:t>Períodos de transición (11-dic-2025 a 08-ene-2026)</w:t>
      </w:r>
    </w:p>
    <w:tbl>
      <w:tblPr>
        <w:tblStyle w:val="TableGrid"/>
        <w:jc w:val="center"/>
        <w:tblLook w:firstColumn="1" w:firstRow="1" w:lastColumn="0" w:lastRow="0" w:noHBand="0" w:noVBand="1" w:val="04A0"/>
        <w:tblW w:w="5000" w:type="pct"/>
        <w:tblLayout w:type="fixed"/>
      </w:tblPr>
      <w:tblGrid>
        <w:gridCol w:w="960"/>
        <w:gridCol w:w="960"/>
        <w:gridCol w:w="960"/>
        <w:gridCol w:w="960"/>
        <w:gridCol w:w="960"/>
        <w:gridCol w:w="960"/>
        <w:gridCol w:w="960"/>
        <w:gridCol w:w="960"/>
        <w:gridCol w:w="960"/>
      </w:tblGrid>
      <w:tr>
        <w:trPr>
          <w:tblHeader w:val="true"/>
        </w:trPr>
        <w:tc>
          <w:tcPr>
            <w:tcW w:type="dxa" w:w="960"/>
          </w:tcPr>
          <w:p>
            <w:pPr>
              <w:spacing w:before="0" w:after="0"/>
            </w:pPr>
            <w:r>
              <w:rPr>
                <w:b/>
                <w:sz w:val="18"/>
              </w:rPr>
              <w:t>Período (lecturas)</w:t>
            </w:r>
          </w:p>
        </w:tc>
        <w:tc>
          <w:tcPr>
            <w:tcW w:type="dxa" w:w="960"/>
          </w:tcPr>
          <w:p>
            <w:pPr>
              <w:spacing w:before="0" w:after="0"/>
            </w:pPr>
            <w:r>
              <w:rPr>
                <w:b/>
                <w:sz w:val="18"/>
              </w:rPr>
              <w:t>Emisión</w:t>
            </w:r>
          </w:p>
        </w:tc>
        <w:tc>
          <w:tcPr>
            <w:tcW w:type="dxa" w:w="960"/>
          </w:tcPr>
          <w:p>
            <w:pPr>
              <w:spacing w:before="0" w:after="0"/>
            </w:pPr>
            <w:r>
              <w:rPr>
                <w:b/>
                <w:sz w:val="18"/>
              </w:rPr>
              <w:t>N° factura</w:t>
            </w:r>
          </w:p>
        </w:tc>
        <w:tc>
          <w:tcPr>
            <w:tcW w:type="dxa" w:w="960"/>
          </w:tcPr>
          <w:p>
            <w:pPr>
              <w:spacing w:before="0" w:after="0"/>
            </w:pPr>
            <w:r>
              <w:rPr>
                <w:b/>
                <w:sz w:val="18"/>
              </w:rPr>
              <w:t>Medidor</w:t>
            </w:r>
          </w:p>
        </w:tc>
        <w:tc>
          <w:tcPr>
            <w:tcW w:type="dxa" w:w="960"/>
          </w:tcPr>
          <w:p>
            <w:pPr>
              <w:spacing w:before="0" w:after="0"/>
            </w:pPr>
            <w:r>
              <w:rPr>
                <w:b/>
                <w:sz w:val="18"/>
              </w:rPr>
              <w:t>m³ facturado</w:t>
            </w:r>
          </w:p>
        </w:tc>
        <w:tc>
          <w:tcPr>
            <w:tcW w:type="dxa" w:w="960"/>
          </w:tcPr>
          <w:p>
            <w:pPr>
              <w:spacing w:before="0" w:after="0"/>
            </w:pPr>
            <w:r>
              <w:rPr>
                <w:b/>
                <w:sz w:val="18"/>
              </w:rPr>
              <w:t>m³ App (WES)</w:t>
            </w:r>
          </w:p>
        </w:tc>
        <w:tc>
          <w:tcPr>
            <w:tcW w:type="dxa" w:w="960"/>
          </w:tcPr>
          <w:p>
            <w:pPr>
              <w:spacing w:before="0" w:after="0"/>
            </w:pPr>
            <w:r>
              <w:rPr>
                <w:b/>
                <w:sz w:val="18"/>
              </w:rPr>
              <w:t>Días (WES)</w:t>
            </w:r>
          </w:p>
        </w:tc>
        <w:tc>
          <w:tcPr>
            <w:tcW w:type="dxa" w:w="960"/>
          </w:tcPr>
          <w:p>
            <w:pPr>
              <w:spacing w:before="0" w:after="0"/>
            </w:pPr>
            <w:r>
              <w:rPr>
                <w:b/>
                <w:sz w:val="18"/>
              </w:rPr>
              <w:t>Dif (fact - WES)</w:t>
            </w:r>
          </w:p>
        </w:tc>
        <w:tc>
          <w:tcPr>
            <w:tcW w:type="dxa" w:w="960"/>
          </w:tcPr>
          <w:p>
            <w:pPr>
              <w:spacing w:before="0" w:after="0"/>
            </w:pPr>
            <w:r>
              <w:rPr>
                <w:b/>
                <w:sz w:val="18"/>
              </w:rPr>
              <w:t>% Dif vs Fact</w:t>
            </w:r>
          </w:p>
        </w:tc>
      </w:tr>
      <w:tr>
        <w:tc>
          <w:tcPr>
            <w:tcW w:type="dxa" w:w="960"/>
          </w:tcPr>
          <w:p>
            <w:pPr>
              <w:spacing w:before="0" w:after="0"/>
            </w:pPr>
            <w:r>
              <w:rPr>
                <w:sz w:val="18"/>
              </w:rPr>
              <w:t>11-dic-2025 → 08-ene-2026</w:t>
            </w:r>
          </w:p>
        </w:tc>
        <w:tc>
          <w:tcPr>
            <w:tcW w:type="dxa" w:w="960"/>
          </w:tcPr>
          <w:p>
            <w:pPr>
              <w:spacing w:before="0" w:after="0"/>
            </w:pPr>
            <w:r>
              <w:rPr>
                <w:sz w:val="18"/>
              </w:rPr>
              <w:t>16-jan-2026</w:t>
            </w:r>
          </w:p>
        </w:tc>
        <w:tc>
          <w:tcPr>
            <w:tcW w:type="dxa" w:w="960"/>
          </w:tcPr>
          <w:p>
            <w:pPr>
              <w:spacing w:before="0" w:after="0"/>
            </w:pPr>
            <w:r>
              <w:rPr>
                <w:sz w:val="18"/>
              </w:rPr>
              <w:t>9019235</w:t>
            </w:r>
          </w:p>
        </w:tc>
        <w:tc>
          <w:tcPr>
            <w:tcW w:type="dxa" w:w="960"/>
          </w:tcPr>
          <w:p>
            <w:pPr>
              <w:spacing w:before="0" w:after="0"/>
            </w:pPr>
            <w:r>
              <w:rPr>
                <w:sz w:val="18"/>
              </w:rPr>
              <w:t>20100027</w:t>
            </w:r>
          </w:p>
        </w:tc>
        <w:tc>
          <w:tcPr>
            <w:tcW w:type="dxa" w:w="960"/>
          </w:tcPr>
          <w:p>
            <w:pPr>
              <w:spacing w:before="0" w:after="0"/>
            </w:pPr>
            <w:r>
              <w:rPr>
                <w:sz w:val="18"/>
              </w:rPr>
              <w:t>1.027</w:t>
            </w:r>
          </w:p>
        </w:tc>
        <w:tc>
          <w:tcPr>
            <w:tcW w:type="dxa" w:w="960"/>
          </w:tcPr>
          <w:p>
            <w:pPr>
              <w:spacing w:before="0" w:after="0"/>
            </w:pPr>
            <w:r>
              <w:rPr>
                <w:sz w:val="18"/>
              </w:rPr>
              <w:t>775,7</w:t>
            </w:r>
          </w:p>
        </w:tc>
        <w:tc>
          <w:tcPr>
            <w:tcW w:type="dxa" w:w="960"/>
          </w:tcPr>
          <w:p>
            <w:pPr>
              <w:spacing w:before="0" w:after="0"/>
            </w:pPr>
            <w:r>
              <w:rPr>
                <w:sz w:val="18"/>
              </w:rPr>
              <w:t>29</w:t>
            </w:r>
          </w:p>
        </w:tc>
        <w:tc>
          <w:tcPr>
            <w:tcW w:type="dxa" w:w="960"/>
          </w:tcPr>
          <w:p>
            <w:pPr>
              <w:spacing w:before="0" w:after="0"/>
            </w:pPr>
            <w:r>
              <w:rPr>
                <w:sz w:val="18"/>
              </w:rPr>
              <w:t>251,3</w:t>
            </w:r>
          </w:p>
        </w:tc>
        <w:tc>
          <w:tcPr>
            <w:tcW w:type="dxa" w:w="960"/>
          </w:tcPr>
          <w:p>
            <w:pPr>
              <w:spacing w:before="0" w:after="0"/>
            </w:pPr>
            <w:r>
              <w:rPr>
                <w:sz w:val="18"/>
              </w:rPr>
              <w:t>24,5%</w:t>
            </w:r>
          </w:p>
        </w:tc>
      </w:tr>
    </w:tbl>
    <w:p/>
    <w:p>
      <w:pPr>
        <w:keepNext/>
      </w:pPr>
      <w:r>
        <w:t>Tabla C — Períodos alineados (posterior a 08-ene-2026), solo lecturas ≥ 28-09-2025: referencia principal; «% Dif vs Fact» respecto a la facturación.</w:t>
      </w:r>
    </w:p>
    <w:p>
      <w:pPr>
        <w:keepNext/>
      </w:pPr>
      <w:r>
        <w:rPr>
          <w:b/>
        </w:rPr>
        <w:t>Períodos alineados (posterior a 08-ene-2026)</w:t>
      </w:r>
    </w:p>
    <w:tbl>
      <w:tblPr>
        <w:tblStyle w:val="TableGrid"/>
        <w:jc w:val="center"/>
        <w:tblLook w:firstColumn="1" w:firstRow="1" w:lastColumn="0" w:lastRow="0" w:noHBand="0" w:noVBand="1" w:val="04A0"/>
        <w:tblW w:w="5000" w:type="pct"/>
        <w:tblLayout w:type="fixed"/>
      </w:tblPr>
      <w:tblGrid>
        <w:gridCol w:w="960"/>
        <w:gridCol w:w="960"/>
        <w:gridCol w:w="960"/>
        <w:gridCol w:w="960"/>
        <w:gridCol w:w="960"/>
        <w:gridCol w:w="960"/>
        <w:gridCol w:w="960"/>
        <w:gridCol w:w="960"/>
        <w:gridCol w:w="960"/>
      </w:tblGrid>
      <w:tr>
        <w:trPr>
          <w:tblHeader w:val="true"/>
        </w:trPr>
        <w:tc>
          <w:tcPr>
            <w:tcW w:type="dxa" w:w="960"/>
          </w:tcPr>
          <w:p>
            <w:pPr>
              <w:spacing w:before="0" w:after="0"/>
            </w:pPr>
            <w:r>
              <w:rPr>
                <w:b/>
                <w:sz w:val="18"/>
              </w:rPr>
              <w:t>Período (lecturas)</w:t>
            </w:r>
          </w:p>
        </w:tc>
        <w:tc>
          <w:tcPr>
            <w:tcW w:type="dxa" w:w="960"/>
          </w:tcPr>
          <w:p>
            <w:pPr>
              <w:spacing w:before="0" w:after="0"/>
            </w:pPr>
            <w:r>
              <w:rPr>
                <w:b/>
                <w:sz w:val="18"/>
              </w:rPr>
              <w:t>Emisión</w:t>
            </w:r>
          </w:p>
        </w:tc>
        <w:tc>
          <w:tcPr>
            <w:tcW w:type="dxa" w:w="960"/>
          </w:tcPr>
          <w:p>
            <w:pPr>
              <w:spacing w:before="0" w:after="0"/>
            </w:pPr>
            <w:r>
              <w:rPr>
                <w:b/>
                <w:sz w:val="18"/>
              </w:rPr>
              <w:t>N° factura</w:t>
            </w:r>
          </w:p>
        </w:tc>
        <w:tc>
          <w:tcPr>
            <w:tcW w:type="dxa" w:w="960"/>
          </w:tcPr>
          <w:p>
            <w:pPr>
              <w:spacing w:before="0" w:after="0"/>
            </w:pPr>
            <w:r>
              <w:rPr>
                <w:b/>
                <w:sz w:val="18"/>
              </w:rPr>
              <w:t>Medidor</w:t>
            </w:r>
          </w:p>
        </w:tc>
        <w:tc>
          <w:tcPr>
            <w:tcW w:type="dxa" w:w="960"/>
          </w:tcPr>
          <w:p>
            <w:pPr>
              <w:spacing w:before="0" w:after="0"/>
            </w:pPr>
            <w:r>
              <w:rPr>
                <w:b/>
                <w:sz w:val="18"/>
              </w:rPr>
              <w:t>m³ facturado</w:t>
            </w:r>
          </w:p>
        </w:tc>
        <w:tc>
          <w:tcPr>
            <w:tcW w:type="dxa" w:w="960"/>
          </w:tcPr>
          <w:p>
            <w:pPr>
              <w:spacing w:before="0" w:after="0"/>
            </w:pPr>
            <w:r>
              <w:rPr>
                <w:b/>
                <w:sz w:val="18"/>
              </w:rPr>
              <w:t>m³ App (WES)</w:t>
            </w:r>
          </w:p>
        </w:tc>
        <w:tc>
          <w:tcPr>
            <w:tcW w:type="dxa" w:w="960"/>
          </w:tcPr>
          <w:p>
            <w:pPr>
              <w:spacing w:before="0" w:after="0"/>
            </w:pPr>
            <w:r>
              <w:rPr>
                <w:b/>
                <w:sz w:val="18"/>
              </w:rPr>
              <w:t>Días (WES)</w:t>
            </w:r>
          </w:p>
        </w:tc>
        <w:tc>
          <w:tcPr>
            <w:tcW w:type="dxa" w:w="960"/>
          </w:tcPr>
          <w:p>
            <w:pPr>
              <w:spacing w:before="0" w:after="0"/>
            </w:pPr>
            <w:r>
              <w:rPr>
                <w:b/>
                <w:sz w:val="18"/>
              </w:rPr>
              <w:t>Dif (fact - WES)</w:t>
            </w:r>
          </w:p>
        </w:tc>
        <w:tc>
          <w:tcPr>
            <w:tcW w:type="dxa" w:w="960"/>
          </w:tcPr>
          <w:p>
            <w:pPr>
              <w:spacing w:before="0" w:after="0"/>
            </w:pPr>
            <w:r>
              <w:rPr>
                <w:b/>
                <w:sz w:val="18"/>
              </w:rPr>
              <w:t>% Dif vs Fact</w:t>
            </w:r>
          </w:p>
        </w:tc>
      </w:tr>
      <w:tr>
        <w:tc>
          <w:tcPr>
            <w:tcW w:type="dxa" w:w="960"/>
          </w:tcPr>
          <w:p>
            <w:pPr>
              <w:spacing w:before="0" w:after="0"/>
            </w:pPr>
            <w:r>
              <w:rPr>
                <w:sz w:val="18"/>
              </w:rPr>
              <w:t>08-ene-2026 → 12-feb-2026</w:t>
            </w:r>
          </w:p>
        </w:tc>
        <w:tc>
          <w:tcPr>
            <w:tcW w:type="dxa" w:w="960"/>
          </w:tcPr>
          <w:p>
            <w:pPr>
              <w:spacing w:before="0" w:after="0"/>
            </w:pPr>
            <w:r>
              <w:rPr>
                <w:sz w:val="18"/>
              </w:rPr>
              <w:t>16-feb-2026</w:t>
            </w:r>
          </w:p>
        </w:tc>
        <w:tc>
          <w:tcPr>
            <w:tcW w:type="dxa" w:w="960"/>
          </w:tcPr>
          <w:p>
            <w:pPr>
              <w:spacing w:before="0" w:after="0"/>
            </w:pPr>
            <w:r>
              <w:rPr>
                <w:sz w:val="18"/>
              </w:rPr>
              <w:t>9075418</w:t>
            </w:r>
          </w:p>
        </w:tc>
        <w:tc>
          <w:tcPr>
            <w:tcW w:type="dxa" w:w="960"/>
          </w:tcPr>
          <w:p>
            <w:pPr>
              <w:spacing w:before="0" w:after="0"/>
            </w:pPr>
            <w:r>
              <w:rPr>
                <w:sz w:val="18"/>
              </w:rPr>
              <w:t>20100027</w:t>
            </w:r>
          </w:p>
        </w:tc>
        <w:tc>
          <w:tcPr>
            <w:tcW w:type="dxa" w:w="960"/>
          </w:tcPr>
          <w:p>
            <w:pPr>
              <w:spacing w:before="0" w:after="0"/>
            </w:pPr>
            <w:r>
              <w:rPr>
                <w:sz w:val="18"/>
              </w:rPr>
              <w:t>1.263</w:t>
            </w:r>
          </w:p>
        </w:tc>
        <w:tc>
          <w:tcPr>
            <w:tcW w:type="dxa" w:w="960"/>
          </w:tcPr>
          <w:p>
            <w:pPr>
              <w:spacing w:before="0" w:after="0"/>
            </w:pPr>
            <w:r>
              <w:rPr>
                <w:sz w:val="18"/>
              </w:rPr>
              <w:t>1.265,9</w:t>
            </w:r>
          </w:p>
        </w:tc>
        <w:tc>
          <w:tcPr>
            <w:tcW w:type="dxa" w:w="960"/>
          </w:tcPr>
          <w:p>
            <w:pPr>
              <w:spacing w:before="0" w:after="0"/>
            </w:pPr>
            <w:r>
              <w:rPr>
                <w:sz w:val="18"/>
              </w:rPr>
              <w:t>36</w:t>
            </w:r>
          </w:p>
        </w:tc>
        <w:tc>
          <w:tcPr>
            <w:tcW w:type="dxa" w:w="960"/>
          </w:tcPr>
          <w:p>
            <w:pPr>
              <w:spacing w:before="0" w:after="0"/>
            </w:pPr>
            <w:r>
              <w:rPr>
                <w:sz w:val="18"/>
              </w:rPr>
              <w:t>-2,9</w:t>
            </w:r>
          </w:p>
        </w:tc>
        <w:tc>
          <w:tcPr>
            <w:tcW w:type="dxa" w:w="960"/>
          </w:tcPr>
          <w:p>
            <w:pPr>
              <w:spacing w:before="0" w:after="0"/>
            </w:pPr>
            <w:r>
              <w:rPr>
                <w:sz w:val="18"/>
              </w:rPr>
              <w:t>-0,2%</w:t>
            </w:r>
          </w:p>
        </w:tc>
      </w:tr>
      <w:tr>
        <w:tc>
          <w:tcPr>
            <w:tcW w:type="dxa" w:w="960"/>
          </w:tcPr>
          <w:p>
            <w:pPr>
              <w:spacing w:before="0" w:after="0"/>
            </w:pPr>
            <w:r>
              <w:rPr>
                <w:sz w:val="18"/>
              </w:rPr>
              <w:t>12-feb-2026 → 16-mar-2026</w:t>
            </w:r>
          </w:p>
        </w:tc>
        <w:tc>
          <w:tcPr>
            <w:tcW w:type="dxa" w:w="960"/>
          </w:tcPr>
          <w:p>
            <w:pPr>
              <w:spacing w:before="0" w:after="0"/>
            </w:pPr>
            <w:r>
              <w:rPr>
                <w:sz w:val="18"/>
              </w:rPr>
              <w:t>18-mar-2026</w:t>
            </w:r>
          </w:p>
        </w:tc>
        <w:tc>
          <w:tcPr>
            <w:tcW w:type="dxa" w:w="960"/>
          </w:tcPr>
          <w:p>
            <w:pPr>
              <w:spacing w:before="0" w:after="0"/>
            </w:pPr>
            <w:r>
              <w:rPr>
                <w:sz w:val="18"/>
              </w:rPr>
              <w:t>9131949</w:t>
            </w:r>
          </w:p>
        </w:tc>
        <w:tc>
          <w:tcPr>
            <w:tcW w:type="dxa" w:w="960"/>
          </w:tcPr>
          <w:p>
            <w:pPr>
              <w:spacing w:before="0" w:after="0"/>
            </w:pPr>
            <w:r>
              <w:rPr>
                <w:sz w:val="18"/>
              </w:rPr>
              <w:t>20100027</w:t>
            </w:r>
          </w:p>
        </w:tc>
        <w:tc>
          <w:tcPr>
            <w:tcW w:type="dxa" w:w="960"/>
          </w:tcPr>
          <w:p>
            <w:pPr>
              <w:spacing w:before="0" w:after="0"/>
            </w:pPr>
            <w:r>
              <w:rPr>
                <w:sz w:val="18"/>
              </w:rPr>
              <w:t>759</w:t>
            </w:r>
          </w:p>
        </w:tc>
        <w:tc>
          <w:tcPr>
            <w:tcW w:type="dxa" w:w="960"/>
          </w:tcPr>
          <w:p>
            <w:pPr>
              <w:spacing w:before="0" w:after="0"/>
            </w:pPr>
            <w:r>
              <w:rPr>
                <w:sz w:val="18"/>
              </w:rPr>
              <w:t>758,7</w:t>
            </w:r>
          </w:p>
        </w:tc>
        <w:tc>
          <w:tcPr>
            <w:tcW w:type="dxa" w:w="960"/>
          </w:tcPr>
          <w:p>
            <w:pPr>
              <w:spacing w:before="0" w:after="0"/>
            </w:pPr>
            <w:r>
              <w:rPr>
                <w:sz w:val="18"/>
              </w:rPr>
              <w:t>31</w:t>
            </w:r>
          </w:p>
        </w:tc>
        <w:tc>
          <w:tcPr>
            <w:tcW w:type="dxa" w:w="960"/>
          </w:tcPr>
          <w:p>
            <w:pPr>
              <w:spacing w:before="0" w:after="0"/>
            </w:pPr>
            <w:r>
              <w:rPr>
                <w:sz w:val="18"/>
              </w:rPr>
              <w:t>0,3</w:t>
            </w:r>
          </w:p>
        </w:tc>
        <w:tc>
          <w:tcPr>
            <w:tcW w:type="dxa" w:w="960"/>
          </w:tcPr>
          <w:p>
            <w:pPr>
              <w:spacing w:before="0" w:after="0"/>
            </w:pPr>
            <w:r>
              <w:rPr>
                <w:sz w:val="18"/>
              </w:rPr>
              <w:t>0%</w:t>
            </w:r>
          </w:p>
        </w:tc>
      </w:tr>
      <w:tr>
        <w:tc>
          <w:tcPr>
            <w:tcW w:type="dxa" w:w="960"/>
          </w:tcPr>
          <w:p>
            <w:pPr>
              <w:spacing w:before="0" w:after="0"/>
            </w:pPr>
            <w:r>
              <w:rPr>
                <w:sz w:val="18"/>
              </w:rPr>
              <w:t>16-mar-2026 → 14-abr-2026</w:t>
            </w:r>
          </w:p>
        </w:tc>
        <w:tc>
          <w:tcPr>
            <w:tcW w:type="dxa" w:w="960"/>
          </w:tcPr>
          <w:p>
            <w:pPr>
              <w:spacing w:before="0" w:after="0"/>
            </w:pPr>
            <w:r>
              <w:rPr>
                <w:sz w:val="18"/>
              </w:rPr>
              <w:t>16-abr-2026</w:t>
            </w:r>
          </w:p>
        </w:tc>
        <w:tc>
          <w:tcPr>
            <w:tcW w:type="dxa" w:w="960"/>
          </w:tcPr>
          <w:p>
            <w:pPr>
              <w:spacing w:before="0" w:after="0"/>
            </w:pPr>
            <w:r>
              <w:rPr>
                <w:sz w:val="18"/>
              </w:rPr>
              <w:t>9188945</w:t>
            </w:r>
          </w:p>
        </w:tc>
        <w:tc>
          <w:tcPr>
            <w:tcW w:type="dxa" w:w="960"/>
          </w:tcPr>
          <w:p>
            <w:pPr>
              <w:spacing w:before="0" w:after="0"/>
            </w:pPr>
            <w:r>
              <w:rPr>
                <w:sz w:val="18"/>
              </w:rPr>
              <w:t>20100027</w:t>
            </w:r>
          </w:p>
        </w:tc>
        <w:tc>
          <w:tcPr>
            <w:tcW w:type="dxa" w:w="960"/>
          </w:tcPr>
          <w:p>
            <w:pPr>
              <w:spacing w:before="0" w:after="0"/>
            </w:pPr>
            <w:r>
              <w:rPr>
                <w:sz w:val="18"/>
              </w:rPr>
              <w:t>990</w:t>
            </w:r>
          </w:p>
        </w:tc>
        <w:tc>
          <w:tcPr>
            <w:tcW w:type="dxa" w:w="960"/>
          </w:tcPr>
          <w:p>
            <w:pPr>
              <w:spacing w:before="0" w:after="0"/>
            </w:pPr>
            <w:r>
              <w:rPr>
                <w:sz w:val="18"/>
              </w:rPr>
              <w:t>1.020,2</w:t>
            </w:r>
          </w:p>
        </w:tc>
        <w:tc>
          <w:tcPr>
            <w:tcW w:type="dxa" w:w="960"/>
          </w:tcPr>
          <w:p>
            <w:pPr>
              <w:spacing w:before="0" w:after="0"/>
            </w:pPr>
            <w:r>
              <w:rPr>
                <w:sz w:val="18"/>
              </w:rPr>
              <w:t>30</w:t>
            </w:r>
          </w:p>
        </w:tc>
        <w:tc>
          <w:tcPr>
            <w:tcW w:type="dxa" w:w="960"/>
          </w:tcPr>
          <w:p>
            <w:pPr>
              <w:spacing w:before="0" w:after="0"/>
            </w:pPr>
            <w:r>
              <w:rPr>
                <w:sz w:val="18"/>
              </w:rPr>
              <w:t>-30,2</w:t>
            </w:r>
          </w:p>
        </w:tc>
        <w:tc>
          <w:tcPr>
            <w:tcW w:type="dxa" w:w="960"/>
          </w:tcPr>
          <w:p>
            <w:pPr>
              <w:spacing w:before="0" w:after="0"/>
            </w:pPr>
            <w:r>
              <w:rPr>
                <w:sz w:val="18"/>
              </w:rPr>
              <w:t>-3,1%</w:t>
            </w:r>
          </w:p>
        </w:tc>
      </w:tr>
    </w:tbl>
    <w:p/>
    <w:p>
      <w:pPr>
        <w:jc w:val="left"/>
      </w:pPr>
      <w:r>
        <w:t>Gráfico consolidado — todas las boletas del cuadro, orden cronológico por lectura actual; izquierda App WES, derecha facturación. Solo lecturas ≥ 28-09-2025.</w:t>
      </w:r>
    </w:p>
    <w:p>
      <w:r>
        <w:drawing>
          <wp:inline xmlns:a="http://schemas.openxmlformats.org/drawingml/2006/main" xmlns:pic="http://schemas.openxmlformats.org/drawingml/2006/picture">
            <wp:extent cx="6126480" cy="2738651"/>
            <wp:docPr id="1" name="Picture 1"/>
            <wp:cNvGraphicFramePr>
              <a:graphicFrameLocks noChangeAspect="1"/>
            </wp:cNvGraphicFramePr>
            <a:graphic>
              <a:graphicData uri="http://schemas.openxmlformats.org/drawingml/2006/picture">
                <pic:pic>
                  <pic:nvPicPr>
                    <pic:cNvPr id="0" name="chart_barras_icco_todos_20260512_143644.png"/>
                    <pic:cNvPicPr/>
                  </pic:nvPicPr>
                  <pic:blipFill>
                    <a:blip r:embed="rId9"/>
                    <a:stretch>
                      <a:fillRect/>
                    </a:stretch>
                  </pic:blipFill>
                  <pic:spPr>
                    <a:xfrm>
                      <a:off x="0" y="0"/>
                      <a:ext cx="6126480" cy="2738651"/>
                    </a:xfrm>
                    <a:prstGeom prst="rect"/>
                  </pic:spPr>
                </pic:pic>
              </a:graphicData>
            </a:graphic>
          </wp:inline>
        </w:drawing>
      </w:r>
    </w:p>
    <w:p/>
    <w:p>
      <w:r>
        <w:rPr>
          <w:b/>
        </w:rPr>
        <w:t>Gráfico — Tabla A (bypass)</w:t>
      </w:r>
    </w:p>
    <w:p>
      <w:r>
        <w:drawing>
          <wp:inline xmlns:a="http://schemas.openxmlformats.org/drawingml/2006/main" xmlns:pic="http://schemas.openxmlformats.org/drawingml/2006/picture">
            <wp:extent cx="6126480" cy="2738651"/>
            <wp:docPr id="2" name="Picture 2"/>
            <wp:cNvGraphicFramePr>
              <a:graphicFrameLocks noChangeAspect="1"/>
            </wp:cNvGraphicFramePr>
            <a:graphic>
              <a:graphicData uri="http://schemas.openxmlformats.org/drawingml/2006/picture">
                <pic:pic>
                  <pic:nvPicPr>
                    <pic:cNvPr id="0" name="chart_barras_icco_bypass_20260512_143644.png"/>
                    <pic:cNvPicPr/>
                  </pic:nvPicPr>
                  <pic:blipFill>
                    <a:blip r:embed="rId10"/>
                    <a:stretch>
                      <a:fillRect/>
                    </a:stretch>
                  </pic:blipFill>
                  <pic:spPr>
                    <a:xfrm>
                      <a:off x="0" y="0"/>
                      <a:ext cx="6126480" cy="2738651"/>
                    </a:xfrm>
                    <a:prstGeom prst="rect"/>
                  </pic:spPr>
                </pic:pic>
              </a:graphicData>
            </a:graphic>
          </wp:inline>
        </w:drawing>
      </w:r>
    </w:p>
    <w:p/>
    <w:p>
      <w:r>
        <w:rPr>
          <w:b/>
        </w:rPr>
        <w:t>Gráfico — Tabla B (transición)</w:t>
      </w:r>
    </w:p>
    <w:p>
      <w:r>
        <w:drawing>
          <wp:inline xmlns:a="http://schemas.openxmlformats.org/drawingml/2006/main" xmlns:pic="http://schemas.openxmlformats.org/drawingml/2006/picture">
            <wp:extent cx="6126480" cy="2738651"/>
            <wp:docPr id="3" name="Picture 3"/>
            <wp:cNvGraphicFramePr>
              <a:graphicFrameLocks noChangeAspect="1"/>
            </wp:cNvGraphicFramePr>
            <a:graphic>
              <a:graphicData uri="http://schemas.openxmlformats.org/drawingml/2006/picture">
                <pic:pic>
                  <pic:nvPicPr>
                    <pic:cNvPr id="0" name="chart_barras_icco_transicion_20260512_143644.png"/>
                    <pic:cNvPicPr/>
                  </pic:nvPicPr>
                  <pic:blipFill>
                    <a:blip r:embed="rId11"/>
                    <a:stretch>
                      <a:fillRect/>
                    </a:stretch>
                  </pic:blipFill>
                  <pic:spPr>
                    <a:xfrm>
                      <a:off x="0" y="0"/>
                      <a:ext cx="6126480" cy="2738651"/>
                    </a:xfrm>
                    <a:prstGeom prst="rect"/>
                  </pic:spPr>
                </pic:pic>
              </a:graphicData>
            </a:graphic>
          </wp:inline>
        </w:drawing>
      </w:r>
    </w:p>
    <w:p/>
    <w:p>
      <w:r>
        <w:rPr>
          <w:b/>
        </w:rPr>
        <w:t>Gráfico — Tabla C (alineados)</w:t>
      </w:r>
    </w:p>
    <w:p>
      <w:r>
        <w:drawing>
          <wp:inline xmlns:a="http://schemas.openxmlformats.org/drawingml/2006/main" xmlns:pic="http://schemas.openxmlformats.org/drawingml/2006/picture">
            <wp:extent cx="6126480" cy="2738651"/>
            <wp:docPr id="4" name="Picture 4"/>
            <wp:cNvGraphicFramePr>
              <a:graphicFrameLocks noChangeAspect="1"/>
            </wp:cNvGraphicFramePr>
            <a:graphic>
              <a:graphicData uri="http://schemas.openxmlformats.org/drawingml/2006/picture">
                <pic:pic>
                  <pic:nvPicPr>
                    <pic:cNvPr id="0" name="chart_barras_icco_alineados_20260512_143644.png"/>
                    <pic:cNvPicPr/>
                  </pic:nvPicPr>
                  <pic:blipFill>
                    <a:blip r:embed="rId12"/>
                    <a:stretch>
                      <a:fillRect/>
                    </a:stretch>
                  </pic:blipFill>
                  <pic:spPr>
                    <a:xfrm>
                      <a:off x="0" y="0"/>
                      <a:ext cx="6126480" cy="2738651"/>
                    </a:xfrm>
                    <a:prstGeom prst="rect"/>
                  </pic:spPr>
                </pic:pic>
              </a:graphicData>
            </a:graphic>
          </wp:inline>
        </w:drawing>
      </w:r>
    </w:p>
    <w:p/>
    <w:p>
      <w:pPr>
        <w:pStyle w:val="Heading2"/>
      </w:pPr>
      <w:r>
        <w:t>2.3 Total acumulado — cuenta (facturación) vs App WES (≥ 28-09-2025)</w:t>
      </w:r>
    </w:p>
    <w:p>
      <w:r>
        <w:t>Suma de todos los períodos incluidos en el cuadro (lecturas anterior y actual ≥ 28-09-2025). Total en cuenta: suma del m³ facturado en esas boletas; total App: suma del consumo WES entre las mismas lecturas de cada período.</w:t>
      </w:r>
    </w:p>
    <w:tbl>
      <w:tblPr>
        <w:tblStyle w:val="TableGrid"/>
        <w:jc w:val="center"/>
        <w:tblLook w:firstColumn="1" w:firstRow="1" w:lastColumn="0" w:lastRow="0" w:noHBand="0" w:noVBand="1" w:val="04A0"/>
        <w:tblW w:w="5000" w:type="pct"/>
        <w:tblLayout w:type="fixed"/>
      </w:tblPr>
      <w:tblGrid>
        <w:gridCol w:w="4320"/>
        <w:gridCol w:w="4320"/>
      </w:tblGrid>
      <w:tr>
        <w:tc>
          <w:tcPr>
            <w:tcW w:type="dxa" w:w="4320"/>
          </w:tcPr>
          <w:p>
            <w:pPr>
              <w:spacing w:before="0" w:after="0"/>
            </w:pPr>
            <w:r>
              <w:rPr>
                <w:b/>
                <w:sz w:val="18"/>
              </w:rPr>
              <w:t>Indicador</w:t>
            </w:r>
          </w:p>
        </w:tc>
        <w:tc>
          <w:tcPr>
            <w:tcW w:type="dxa" w:w="4320"/>
          </w:tcPr>
          <w:p>
            <w:pPr>
              <w:spacing w:before="0" w:after="0"/>
            </w:pPr>
            <w:r>
              <w:rPr>
                <w:b/>
                <w:sz w:val="18"/>
              </w:rPr>
              <w:t>Valor</w:t>
            </w:r>
          </w:p>
        </w:tc>
      </w:tr>
      <w:tr>
        <w:tc>
          <w:tcPr>
            <w:tcW w:type="dxa" w:w="4320"/>
          </w:tcPr>
          <w:p>
            <w:pPr>
              <w:spacing w:before="0" w:after="0"/>
            </w:pPr>
            <w:r>
              <w:rPr>
                <w:sz w:val="18"/>
              </w:rPr>
              <w:t>Boletas incluidas en el acumulado (N°)</w:t>
            </w:r>
          </w:p>
        </w:tc>
        <w:tc>
          <w:tcPr>
            <w:tcW w:type="dxa" w:w="4320"/>
          </w:tcPr>
          <w:p>
            <w:pPr>
              <w:spacing w:before="0" w:after="0"/>
            </w:pPr>
            <w:r>
              <w:rPr>
                <w:sz w:val="18"/>
              </w:rPr>
              <w:t>6</w:t>
            </w:r>
          </w:p>
        </w:tc>
      </w:tr>
      <w:tr>
        <w:tc>
          <w:tcPr>
            <w:tcW w:type="dxa" w:w="4320"/>
          </w:tcPr>
          <w:p>
            <w:pPr>
              <w:spacing w:before="0" w:after="0"/>
            </w:pPr>
            <w:r>
              <w:rPr>
                <w:sz w:val="18"/>
              </w:rPr>
              <w:t>Total m³ facturación (cuenta, suma boletas)</w:t>
            </w:r>
          </w:p>
        </w:tc>
        <w:tc>
          <w:tcPr>
            <w:tcW w:type="dxa" w:w="4320"/>
          </w:tcPr>
          <w:p>
            <w:pPr>
              <w:spacing w:before="0" w:after="0"/>
            </w:pPr>
            <w:r>
              <w:rPr>
                <w:sz w:val="18"/>
              </w:rPr>
              <w:t>7.174</w:t>
            </w:r>
          </w:p>
        </w:tc>
      </w:tr>
      <w:tr>
        <w:tc>
          <w:tcPr>
            <w:tcW w:type="dxa" w:w="4320"/>
          </w:tcPr>
          <w:p>
            <w:pPr>
              <w:spacing w:before="0" w:after="0"/>
            </w:pPr>
            <w:r>
              <w:rPr>
                <w:sz w:val="18"/>
              </w:rPr>
              <w:t>Total m³ App WES (suma períodos)</w:t>
            </w:r>
          </w:p>
        </w:tc>
        <w:tc>
          <w:tcPr>
            <w:tcW w:type="dxa" w:w="4320"/>
          </w:tcPr>
          <w:p>
            <w:pPr>
              <w:spacing w:before="0" w:after="0"/>
            </w:pPr>
            <w:r>
              <w:rPr>
                <w:sz w:val="18"/>
              </w:rPr>
              <w:t>5.713,4</w:t>
            </w:r>
          </w:p>
        </w:tc>
      </w:tr>
      <w:tr>
        <w:tc>
          <w:tcPr>
            <w:tcW w:type="dxa" w:w="4320"/>
          </w:tcPr>
          <w:p>
            <w:pPr>
              <w:spacing w:before="0" w:after="0"/>
            </w:pPr>
            <w:r>
              <w:rPr>
                <w:sz w:val="18"/>
              </w:rPr>
              <w:t>Diferencia (facturación − App WES)</w:t>
            </w:r>
          </w:p>
        </w:tc>
        <w:tc>
          <w:tcPr>
            <w:tcW w:type="dxa" w:w="4320"/>
          </w:tcPr>
          <w:p>
            <w:pPr>
              <w:spacing w:before="0" w:after="0"/>
            </w:pPr>
            <w:r>
              <w:rPr>
                <w:sz w:val="18"/>
              </w:rPr>
              <w:t>1.460,6</w:t>
            </w:r>
          </w:p>
        </w:tc>
      </w:tr>
      <w:tr>
        <w:tc>
          <w:tcPr>
            <w:tcW w:type="dxa" w:w="4320"/>
          </w:tcPr>
          <w:p>
            <w:pPr>
              <w:spacing w:before="0" w:after="0"/>
            </w:pPr>
            <w:r>
              <w:rPr>
                <w:sz w:val="18"/>
              </w:rPr>
              <w:t>% diferencia vs facturación</w:t>
            </w:r>
          </w:p>
        </w:tc>
        <w:tc>
          <w:tcPr>
            <w:tcW w:type="dxa" w:w="4320"/>
          </w:tcPr>
          <w:p>
            <w:pPr>
              <w:spacing w:before="0" w:after="0"/>
            </w:pPr>
            <w:r>
              <w:rPr>
                <w:sz w:val="18"/>
              </w:rPr>
              <w:t>20,4%</w:t>
            </w:r>
          </w:p>
        </w:tc>
      </w:tr>
    </w:tbl>
    <w:p/>
    <w:p>
      <w:pPr>
        <w:jc w:val="left"/>
      </w:pPr>
      <w:r>
        <w:t>Gráfico — total acumulado: barra izquierda suma App WES, barra derecha suma facturación en cuenta (misma base que la tabla; solo facturaciones con ambas lecturas ≥ 28-09-2025).</w:t>
      </w:r>
    </w:p>
    <w:p>
      <w:r>
        <w:drawing>
          <wp:inline xmlns:a="http://schemas.openxmlformats.org/drawingml/2006/main" xmlns:pic="http://schemas.openxmlformats.org/drawingml/2006/picture">
            <wp:extent cx="5303520" cy="3264222"/>
            <wp:docPr id="5" name="Picture 5"/>
            <wp:cNvGraphicFramePr>
              <a:graphicFrameLocks noChangeAspect="1"/>
            </wp:cNvGraphicFramePr>
            <a:graphic>
              <a:graphicData uri="http://schemas.openxmlformats.org/drawingml/2006/picture">
                <pic:pic>
                  <pic:nvPicPr>
                    <pic:cNvPr id="0" name="chart_barras_icco_total_acumulado_20260512_143644.png"/>
                    <pic:cNvPicPr/>
                  </pic:nvPicPr>
                  <pic:blipFill>
                    <a:blip r:embed="rId13"/>
                    <a:stretch>
                      <a:fillRect/>
                    </a:stretch>
                  </pic:blipFill>
                  <pic:spPr>
                    <a:xfrm>
                      <a:off x="0" y="0"/>
                      <a:ext cx="5303520" cy="3264222"/>
                    </a:xfrm>
                    <a:prstGeom prst="rect"/>
                  </pic:spPr>
                </pic:pic>
              </a:graphicData>
            </a:graphic>
          </wp:inline>
        </w:drawing>
      </w:r>
    </w:p>
    <w:p>
      <w:pPr>
        <w:pStyle w:val="Heading1"/>
      </w:pPr>
      <w:r>
        <w:t>3. Referencias</w:t>
      </w:r>
    </w:p>
    <w:p>
      <w:r>
        <w:t>Facturas incluidas en tablas, gráficos y total acumulado (lecturas ≥ 28-09-2025), por lectura actual:</w:t>
        <w:br/>
        <w:t>- 8902630</w:t>
        <w:br/>
        <w:t>- 8960979</w:t>
        <w:br/>
        <w:t>- 9019235</w:t>
        <w:br/>
        <w:t>- 9075418</w:t>
        <w:br/>
        <w:t>- 9131949</w:t>
        <w:br/>
        <w:t>- 9188945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App WES vs Facturaciones Aguas Andinas</dc:title>
  <dc:subject>000017-08 — ICCO Renca (000017-08) — Renca</dc:subject>
  <dc:creator>Script informe ICCO Renca</dc:creator>
  <cp:keywords>WES; Aguas Andinas; ICCO; Renca; facturación; consumo</cp:keywords>
  <dc:description>Informe generado automáticamente: facturas Aguas Andinas (PDF) vs consumo API nodo WES.</dc:description>
  <cp:lastModifiedBy>Script informe ICCO Renca</cp:lastModifiedBy>
  <cp:revision>1</cp:revision>
  <dcterms:created xsi:type="dcterms:W3CDTF">2026-05-12T14:36:44-04:00</dcterms:created>
  <dcterms:modified xsi:type="dcterms:W3CDTF">2026-05-12T14:36:44-04:00</dcterms:modified>
  <cp:category>Informe comparativo</cp:category>
</cp:coreProperties>
</file>