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Renca Cumbre de cóndores Ote.</w:t>
      </w:r>
    </w:p>
    <w:p>
      <w:pPr>
        <w:jc w:val="center"/>
      </w:pPr>
      <w:r>
        <w:t>MONITOREO WES</w:t>
        <w:br/>
        <w:t>Cumbre de cóndores Ote.</w:t>
        <w:br/>
        <w:t>Rango: 01-03-26 - 31-03-26</w:t>
        <w:br/>
        <w:t>Generado: 31-03-26 19:12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798 m³.</w:t>
        <w:br/>
      </w:r>
      <w:r>
        <w:t>Promedio diario: 26,6 m³.</w:t>
        <w:br/>
      </w:r>
      <w:r>
        <w:t>Número de días del periodo del reporte: 31.</w:t>
        <w:br/>
      </w:r>
      <w:r>
        <w:t>Día pico: 30-03-26 (41,3 m³).</w:t>
        <w:br/>
      </w:r>
      <w:r>
        <w:t>Número de alertas de consumo nocturno: 1.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30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17-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lunes 30-03-26 con 41,3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17-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4 semana(s) completa(s) (desde el lunes 2 de marzo de 2026 hasta el domingo 29 de marzo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17-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17-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03-03-26: Aumento del 78,6% (de 16,8 m³ a 30 m³). • 19-03-26: Aumento del 20,8% (de 34,1 m³ a 41,2 m³). El día pico (30-03-26) registró un consumo de 41,3 m³, lo que representa un 55,3% por encima del promedio diario (26,6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798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26,6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798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41,3 m³ (30-03-26)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(07-03-26)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20"/>
        <w:gridCol w:w="134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31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798</w:t>
            </w:r>
          </w:p>
        </w:tc>
      </w:tr>
    </w:tbl>
    <w:p/>
    <w:p>
      <w:pPr>
        <w:jc w:val="both"/>
      </w:pPr>
      <w:r>
        <w:rPr>
          <w:color w:val="000000"/>
        </w:rPr>
        <w:t>Nota: En este punto el consumo nocturno aparece en 0 debido al control operativo de la máquina WES (CPA). Por este motivo se omite la gráfica de torta (no aporta valor adicional en la interpretación).</w:t>
      </w:r>
    </w:p>
    <w:p>
      <w:pPr>
        <w:jc w:val="both"/>
      </w:pPr>
      <w:r>
        <w:rPr>
          <w:color w:val="000000"/>
        </w:rPr>
        <w:t>Los eventos de consumo nocturno provienen del punto Cumbre de cóndores Ote.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17-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