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UDD</w:t>
      </w:r>
    </w:p>
    <w:p>
      <w:pPr>
        <w:jc w:val="center"/>
      </w:pPr>
      <w:r>
        <w:t>MONITOREO WES</w:t>
        <w:br/>
        <w:t>Análisis consolidado de 2 puntos de monitoreo</w:t>
        <w:br/>
        <w:t>Rango: 01-04-26 - 30-04-26</w:t>
        <w:br/>
        <w:t>Generado: 06-05-26 20:08</w:t>
      </w:r>
    </w:p>
    <w:p>
      <w:pPr>
        <w:pStyle w:val="Heading1"/>
        <w:keepNext/>
        <w:widowControl/>
        <w:spacing w:after="60"/>
      </w:pPr>
      <w:r>
        <w:rPr>
          <w:b/>
          <w:color w:val="003366"/>
        </w:rPr>
        <w:t>RESUMEN EJECUTIVO AGREGADO</w:t>
      </w:r>
    </w:p>
    <w:p>
      <w:r>
        <w:t>Puntos de monitoreo analizados: 2.</w:t>
        <w:br/>
      </w:r>
      <w:r>
        <w:t>Consumo total agregado: 3.569,1 m³.</w:t>
        <w:br/>
      </w:r>
      <w:r>
        <w:t>Consumo promedio por punto: 1.784,5 m³.</w:t>
        <w:br/>
      </w:r>
      <w:r>
        <w:t>Total de alertas registradas: 11.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UDD-Sala impulsión Honduras, con un total de 3.542,6 m³ durante el periodo analizado. Este valor representa un 98,5% por encima del promedio (1.784,5 m³ por punto), indicando una demanda significativamente superior a la media. Por otro lado, el punto con menor consumo es UDD-Edificio o Aula Magna, con un total de 26,5 m³. Este valor representa un 98,5% por debajo del promedio, mostrando una demanda significativamente inferior. La diferencia entre el punto de mayor y menor consumo es considerable, siendo el consumo máximo aproximadamente 133,5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82"/>
        <w:gridCol w:w="1054"/>
        <w:gridCol w:w="937"/>
        <w:gridCol w:w="1406"/>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UDD-Sala impulsión Honduras</w:t>
            </w:r>
          </w:p>
        </w:tc>
        <w:tc>
          <w:tcPr>
            <w:tcW w:type="dxa" w:w="1440"/>
            <w:noWrap/>
          </w:tcPr>
          <w:p>
            <w:r>
              <w:t>3.542,6</w:t>
            </w:r>
          </w:p>
        </w:tc>
        <w:tc>
          <w:tcPr>
            <w:tcW w:type="dxa" w:w="1440"/>
            <w:noWrap/>
          </w:tcPr>
          <w:p>
            <w:r>
              <w:t>4</w:t>
            </w:r>
          </w:p>
        </w:tc>
        <w:tc>
          <w:tcPr>
            <w:tcW w:type="dxa" w:w="1440"/>
            <w:noWrap/>
          </w:tcPr>
          <w:p>
            <w:pPr>
              <w:jc w:val="left"/>
            </w:pPr>
            <w:r>
              <w:t>740,9 m³</w:t>
            </w:r>
          </w:p>
          <w:p>
            <w:pPr>
              <w:jc w:val="left"/>
            </w:pPr>
            <w:r>
              <w:t>(30 días, 100%)</w:t>
            </w:r>
          </w:p>
        </w:tc>
        <w:tc>
          <w:tcPr>
            <w:tcW w:type="dxa" w:w="1440"/>
            <w:noWrap/>
          </w:tcPr>
          <w:p>
            <w:pPr>
              <w:jc w:val="left"/>
            </w:pPr>
            <w:r>
              <w:t>2.540,2 m³</w:t>
            </w:r>
          </w:p>
          <w:p>
            <w:pPr>
              <w:jc w:val="left"/>
            </w:pPr>
            <w:r>
              <w:t>(71,7%)</w:t>
            </w:r>
          </w:p>
        </w:tc>
      </w:tr>
      <w:tr>
        <w:tc>
          <w:tcPr>
            <w:tcW w:type="dxa" w:w="1440"/>
            <w:noWrap/>
          </w:tcPr>
          <w:p>
            <w:r>
              <w:t>2</w:t>
            </w:r>
          </w:p>
        </w:tc>
        <w:tc>
          <w:tcPr>
            <w:tcW w:type="dxa" w:w="1440"/>
            <w:noWrap/>
          </w:tcPr>
          <w:p>
            <w:r>
              <w:t>UDD-Edificio o Aula Magna</w:t>
            </w:r>
          </w:p>
        </w:tc>
        <w:tc>
          <w:tcPr>
            <w:tcW w:type="dxa" w:w="1440"/>
            <w:noWrap/>
          </w:tcPr>
          <w:p>
            <w:r>
              <w:t>26,5</w:t>
            </w:r>
          </w:p>
        </w:tc>
        <w:tc>
          <w:tcPr>
            <w:tcW w:type="dxa" w:w="1440"/>
            <w:noWrap/>
          </w:tcPr>
          <w:p>
            <w:r>
              <w:t>7</w:t>
            </w:r>
          </w:p>
        </w:tc>
        <w:tc>
          <w:tcPr>
            <w:tcW w:type="dxa" w:w="1440"/>
            <w:noWrap/>
          </w:tcPr>
          <w:p>
            <w:pPr>
              <w:jc w:val="left"/>
            </w:pPr>
            <w:r>
              <w:t>3,5 m³</w:t>
            </w:r>
          </w:p>
          <w:p>
            <w:pPr>
              <w:jc w:val="left"/>
            </w:pPr>
            <w:r>
              <w:t>(26 días, 86,7%)</w:t>
            </w:r>
          </w:p>
        </w:tc>
        <w:tc>
          <w:tcPr>
            <w:tcW w:type="dxa" w:w="1440"/>
            <w:noWrap/>
          </w:tcPr>
          <w:p>
            <w:pPr>
              <w:jc w:val="left"/>
            </w:pPr>
            <w:r>
              <w:t>11,9 m³</w:t>
            </w:r>
          </w:p>
          <w:p>
            <w:pPr>
              <w:jc w:val="left"/>
            </w:pPr>
            <w:r>
              <w:t>(44,7%)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3.569,1</w:t>
            </w:r>
          </w:p>
        </w:tc>
        <w:tc>
          <w:tcPr>
            <w:tcW w:type="dxa" w:w="1440"/>
            <w:noWrap/>
            <w:shd w:val="clear" w:fill="FFE6E6"/>
          </w:tcPr>
          <w:p>
            <w:pPr>
              <w:jc w:val="left"/>
            </w:pPr>
            <w:r>
              <w:rPr>
                <w:b/>
                <w:color w:val="FF0000"/>
              </w:rPr>
              <w:t>11</w:t>
            </w:r>
          </w:p>
        </w:tc>
        <w:tc>
          <w:tcPr>
            <w:tcW w:type="dxa" w:w="1440"/>
            <w:noWrap/>
            <w:shd w:val="clear" w:fill="FFE6E6"/>
          </w:tcPr>
          <w:p>
            <w:pPr>
              <w:jc w:val="left"/>
            </w:pPr>
            <w:r>
              <w:rPr>
                <w:b/>
                <w:color w:val="FF0000"/>
              </w:rPr>
              <w:t>744,3 m³</w:t>
            </w:r>
          </w:p>
        </w:tc>
        <w:tc>
          <w:tcPr>
            <w:tcW w:type="dxa" w:w="1440"/>
            <w:noWrap/>
            <w:shd w:val="clear" w:fill="FFE6E6"/>
          </w:tcPr>
          <w:p>
            <w:pPr>
              <w:jc w:val="left"/>
            </w:pPr>
            <w:r>
              <w:rPr>
                <w:b/>
                <w:color w:val="FF0000"/>
              </w:rPr>
              <w:t>2.552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UDD-SALA IMPULSIÓN HONDURAS (15-04-26):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UDD-Sala impulsión Honduras registró 4 alerta(s) durante 4 día(s) del periodo analizado. La periodicidad de las alertas es puntual (menos del 20% de los días). Se identificó una proyección de filtración de 2.540,2 m³ ($3.236.201), lo que indica un patrón de fuga constante durante el periodo.</w:t>
      </w:r>
    </w:p>
    <w:p/>
    <w:p>
      <w:pPr>
        <w:keepNext/>
        <w:widowControl/>
        <w:spacing w:after="60"/>
      </w:pPr>
      <w:r>
        <w:rPr>
          <w:b/>
          <w:color w:val="003366"/>
        </w:rPr>
        <w:t>DÍA CON MAYOR CONSUMO NOCTURNO - UDD-EDIFICIO O AULA MAGNA (08-04-26):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UDD-Edificio o Aula Magna registró 7 alerta(s) durante 7 día(s) del periodo analizado. La periodicidad de las alertas es intermitente (más del 20% de los días). Se identificó una proyección de filtración de 11,9 m³ ($15.110),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UDD-Sala impulsión Honduras y UDD-Edificio o Aula Magna.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