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UDD</w:t>
      </w:r>
    </w:p>
    <w:p>
      <w:pPr>
        <w:jc w:val="center"/>
      </w:pPr>
      <w:r>
        <w:t>MONITOREO WES</w:t>
        <w:br/>
        <w:t>Análisis consolidado de 2 puntos de monitoreo</w:t>
        <w:br/>
        <w:t>Rango: 01-06-26 - 30-06-26</w:t>
        <w:br/>
        <w:t>Generado: 30-06-26 16:37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4.272,4 m³.</w:t>
        <w:br/>
      </w:r>
      <w:r>
        <w:t>Consumo promedio por punto: 2.136,2 m³.</w:t>
        <w:br/>
      </w:r>
      <w:r>
        <w:t>Total de alertas registradas: 13.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UDD-Sala impulsión Honduras, con un total de 4.243,7 m³ durante el periodo analizado. Este valor representa un 98,7% por encima del promedio (2.136,2 m³ por punto), indicando una demanda significativamente superior a la media. Por otro lado, el punto con menor consumo es UDD-Edificio o Aula Magna, con un total de 28,7 m³. Este valor representa un 98,7% por debajo del promedio, mostrando una demanda significativamente inferior. La diferencia entre el punto de mayor y menor consumo es considerable, siendo el consumo máximo aproximadamente 147,7 veces superior al mínimo, lo que sugiere variaciones significativas en los patrones de uso entre los diferentes puntos de monitoreo.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15"/>
        <w:gridCol w:w="1582"/>
        <w:gridCol w:w="1054"/>
        <w:gridCol w:w="937"/>
        <w:gridCol w:w="1406"/>
        <w:gridCol w:w="1406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UDD-Sala impulsión Honduras</w:t>
            </w:r>
          </w:p>
        </w:tc>
        <w:tc>
          <w:tcPr>
            <w:tcW w:type="dxa" w:w="1440"/>
            <w:noWrap/>
          </w:tcPr>
          <w:p>
            <w:r>
              <w:t>4.243,7</w:t>
            </w:r>
          </w:p>
        </w:tc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899,6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3.084,5 m³</w:t>
            </w:r>
          </w:p>
          <w:p>
            <w:pPr>
              <w:jc w:val="left"/>
            </w:pPr>
            <w:r>
              <w:t>(72,7%)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UDD-Edificio o Aula Magna</w:t>
            </w:r>
          </w:p>
        </w:tc>
        <w:tc>
          <w:tcPr>
            <w:tcW w:type="dxa" w:w="1440"/>
            <w:noWrap/>
          </w:tcPr>
          <w:p>
            <w:r>
              <w:t>28,7</w:t>
            </w:r>
          </w:p>
        </w:tc>
        <w:tc>
          <w:tcPr>
            <w:tcW w:type="dxa" w:w="1440"/>
            <w:noWrap/>
          </w:tcPr>
          <w:p>
            <w:r>
              <w:t>11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 m³</w:t>
            </w:r>
          </w:p>
          <w:p>
            <w:pPr>
              <w:jc w:val="left"/>
            </w:pPr>
            <w:r>
              <w:t>(27 días, 90%)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10,3 m³</w:t>
            </w:r>
          </w:p>
          <w:p>
            <w:pPr>
              <w:jc w:val="left"/>
            </w:pPr>
            <w:r>
              <w:t>(35,8%)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4.272,4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13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902,6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3.094,8 m³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- UDD-SALA IMPULSIÓN HONDURAS (12-06-26):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000026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nodo UDD-Sala impulsión Honduras registró 2 alerta(s) durante 2 día(s) del periodo analizado. La periodicidad de las alertas es puntual (menos del 20% de los días). Se identificó una proyección de filtración de 3.084,5 m³ ($3.929.615), lo que indica un patrón de fuga constante durante el periodo.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- UDD-EDIFICIO O AULA MAGNA (17-06-26):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000026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nodo UDD-Edificio o Aula Magna registró 11 alerta(s) durante 11 día(s) del periodo analizado. La periodicidad de las alertas es intermitente (más del 20% de los días). Se identificó una proyección de filtración de 10,3 m³ ($13.125), lo que indica un patrón de fuga constante durante el periodo.</w:t>
      </w:r>
    </w:p>
    <w:p/>
    <w:p>
      <w:pPr>
        <w:keepNext/>
        <w:widowControl/>
        <w:spacing w:after="60"/>
      </w:pPr>
      <w:r>
        <w:rPr>
          <w:b/>
          <w:color w:val="003366"/>
        </w:rPr>
        <w:t>COMPARACIÓN MENSUAL: CONSUMO NOCTURNO VS CONSUMO EFECTIVO:</w:t>
      </w:r>
    </w:p>
    <w:p>
      <w:pPr>
        <w:jc w:val="both"/>
      </w:pPr>
      <w:r>
        <w:rPr>
          <w:color w:val="000000"/>
        </w:rPr>
        <w:t>La comparación mensual proyecta los valores a 30 días. La proyección de consumo nocturno proviene de la serie horaria API (madrugada 00:00–06:59), no de alertas MyAlert, cuando estas no están disponibles o son puntuales. El consumo efectivo mensual es el total del periodo menos esa proyección, escalado a 30 días. Esta comparación permite visualizar el impacto económico de los consumos nocturnos en un periodo mensual, valorizando el consumo nocturno en pesos chilenos según el precio por metro cúbico del punto.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228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_agreg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 xml:space="preserve">Este reporte sintetiza los principales hallazgos de consumo y fugas detectados durante el periodo analizado. Se recomienda revisar los días con mayor consumo y atender las alertas registradas. </w:t>
      </w:r>
    </w:p>
    <w:p>
      <w:pPr>
        <w:jc w:val="both"/>
      </w:pPr>
      <w:r>
        <w:rPr>
          <w:color w:val="000000"/>
        </w:rPr>
        <w:t xml:space="preserve">El análisis de filtración detectó proyecciones de fuga en los siguientes puntos de monitoreo: UDD-Sala impulsión Honduras y UDD-Edificio o Aula Magna. Estos puntos presentan consumos nocturnos significativos que sugieren la presencia de fugas constantes durante el periodo analizado. </w:t>
      </w:r>
    </w:p>
    <w:p>
      <w:pPr>
        <w:jc w:val="both"/>
      </w:pPr>
      <w:r>
        <w:rPr>
          <w:color w:val="000000"/>
        </w:rPr>
        <w:t>Se recomienda realizar una inspección exhaustiva en el terreno de los puntos mencionados para identificar posibles fugas. Específicamente, se sugiere revisar el correcto funcionamiento de todos los artefactos conectados a la red de agua monitoreada por WES en estos puntos, verificando que no presenten fallas, desgaste o mal funcionamiento que puedan generar pérdidas de agua. Asimismo, se recomienda buscar indicadores de humedad en superficies del terreno, tales como áreas húmedas, charcos persistentes, crecimiento anormal de vegetación, o cualquier otra señal que pueda indicar la presencia de una filtración subterránea. Estas acciones permitirán confirmar y localizar la fuente de la posible filtración identificada en el análisis.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