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UDD</w:t>
      </w:r>
    </w:p>
    <w:p>
      <w:pPr>
        <w:jc w:val="center"/>
      </w:pPr>
      <w:r>
        <w:t>MONITOREO WES</w:t>
        <w:br/>
        <w:t>Análisis consolidado de 2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1.824,8 m³.</w:t>
        <w:br/>
      </w:r>
      <w:r>
        <w:t>Consumo promedio por punto: 912,4 m³.</w:t>
        <w:br/>
      </w:r>
      <w:r>
        <w:t>Total de alertas registradas: 17.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La UDD consumió en total 1.824,8 m³ en el periodo. De ese volumen, UDD-Sala impulsión Honduras aportó 1.805,2 m³ (98,9 %) y UDD-Edificio o Aula Magna 19,6 m³ (1,1 %). UDD-Sala impulsión Honduras fue el punto de mayor demanda, con 1.785,6 m³ más que UDD-Edificio o Aula Magna.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UDD-EDIFICIO O AULA MAGNA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 — 14/07/2026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UDD-Sala impulsión Honduras fue el 14/07/2026 con 253.7 m³ registrados, un 209 % por sobre el promedio diario del periodo (82.1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UDD-EDIFICIO O AULA MAGNA — 02/07/2026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UDD-Edificio o Aula Magna fue el 02/07/2026 con 1.4 m³ registrados, un 98 % por sobre el promedio diario del periodo (0.7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1626"/>
        <w:gridCol w:w="1084"/>
        <w:gridCol w:w="964"/>
        <w:gridCol w:w="1506"/>
        <w:gridCol w:w="1204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UDD-Sala impulsión Honduras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1.805,2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137,6 m³</w:t>
            </w:r>
          </w:p>
          <w:p>
            <w:pPr>
              <w:jc w:val="left"/>
            </w:pPr>
            <w:r>
              <w:t>(16 días, 72,7%)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$175.277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UDD-Edificio o Aula Magna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0,6 m³</w:t>
            </w:r>
          </w:p>
          <w:p>
            <w:pPr>
              <w:jc w:val="left"/>
            </w:pPr>
            <w:r>
              <w:t>(20 días, 71,4%)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$713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1.824,8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138,1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$175.990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UDD-Sala impulsión Honduras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137,6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$175.277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UDD-Edificio o Aula Magna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$713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UDD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138,1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$175.990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la UDD registró un total de 138,1 m³ en horario nocturno (UDD-Sala impulsión Honduras (137,6 m³) y UDD-Edificio o Aula Magna (0,6 m³)), equivalente a $175.990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