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UDD UDD-Sala impulsión Honduras</w:t>
      </w:r>
    </w:p>
    <w:p>
      <w:pPr>
        <w:jc w:val="center"/>
      </w:pPr>
      <w:r>
        <w:t>MONITOREO WES</w:t>
        <w:br/>
        <w:t>UDD-Sala impulsión Honduras</w:t>
        <w:br/>
        <w:t>Rango: 01-02-26 - 28-02-26</w:t>
        <w:br/>
        <w:t>Generado: 05-03-26 17:56</w:t>
      </w:r>
    </w:p>
    <w:p>
      <w:pPr>
        <w:pStyle w:val="Heading1"/>
        <w:keepNext/>
        <w:widowControl/>
        <w:spacing w:after="60"/>
      </w:pPr>
      <w:r>
        <w:rPr>
          <w:b/>
          <w:color w:val="003366"/>
        </w:rPr>
        <w:t>RESUMEN EJECUTIVO</w:t>
      </w:r>
    </w:p>
    <w:p>
      <w:r>
        <w:t>Consumo total: 1.583,8 m³.</w:t>
        <w:br/>
      </w:r>
      <w:r>
        <w:t>Promedio diario: 56,6 m³.</w:t>
        <w:br/>
      </w:r>
      <w:r>
        <w:t>Número de días del periodo del reporte: 28.</w:t>
        <w:br/>
      </w:r>
      <w:r>
        <w:t>Día pico: 26-02-26 (83,8 m³).</w:t>
        <w:br/>
      </w:r>
      <w:r>
        <w:t>Número de alertas de consumo nocturno: 3.</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6-01.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83,8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6-01.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6-01.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6-01.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23-02-26: Aumento del 104,5% (de 32,1 m³ a 65,5 m³). • 16-02-26: Aumento del 77,4% (de 33,3 m³ a 59,1 m³). El equipo de monitoreo WES alertó este evento. El día pico (26-02-26) registró un consumo de 83,8 m³, lo que representa un 48,2% por encima del promedio diario (56,6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1.583,8</w:t>
            </w:r>
          </w:p>
        </w:tc>
      </w:tr>
      <w:tr>
        <w:tc>
          <w:tcPr>
            <w:tcW w:type="dxa" w:w="4320"/>
            <w:noWrap/>
          </w:tcPr>
          <w:p>
            <w:r>
              <w:t>Promedio diario (m³)</w:t>
            </w:r>
          </w:p>
        </w:tc>
        <w:tc>
          <w:tcPr>
            <w:tcW w:type="dxa" w:w="4320"/>
            <w:noWrap/>
          </w:tcPr>
          <w:p>
            <w:r>
              <w:t>56,6</w:t>
            </w:r>
          </w:p>
        </w:tc>
      </w:tr>
      <w:tr>
        <w:tc>
          <w:tcPr>
            <w:tcW w:type="dxa" w:w="4320"/>
            <w:noWrap/>
          </w:tcPr>
          <w:p>
            <w:r>
              <w:t>Promedio mensual (m³)</w:t>
            </w:r>
          </w:p>
        </w:tc>
        <w:tc>
          <w:tcPr>
            <w:tcW w:type="dxa" w:w="4320"/>
            <w:noWrap/>
          </w:tcPr>
          <w:p>
            <w:r>
              <w:t>1.696,9</w:t>
            </w:r>
          </w:p>
        </w:tc>
      </w:tr>
      <w:tr>
        <w:tc>
          <w:tcPr>
            <w:tcW w:type="dxa" w:w="4320"/>
            <w:noWrap/>
          </w:tcPr>
          <w:p>
            <w:r>
              <w:t>Máximo diario</w:t>
            </w:r>
          </w:p>
        </w:tc>
        <w:tc>
          <w:tcPr>
            <w:tcW w:type="dxa" w:w="4320"/>
            <w:noWrap/>
          </w:tcPr>
          <w:p>
            <w:r>
              <w:t>83,8 m³ (26-02-26)</w:t>
            </w:r>
          </w:p>
        </w:tc>
      </w:tr>
      <w:tr>
        <w:tc>
          <w:tcPr>
            <w:tcW w:type="dxa" w:w="4320"/>
            <w:noWrap/>
          </w:tcPr>
          <w:p>
            <w:r>
              <w:t>Mínimo diario</w:t>
            </w:r>
          </w:p>
        </w:tc>
        <w:tc>
          <w:tcPr>
            <w:tcW w:type="dxa" w:w="4320"/>
            <w:noWrap/>
          </w:tcPr>
          <w:p>
            <w:r>
              <w:t>32,1 m³ (22-02-26)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335,3</w:t>
            </w:r>
          </w:p>
        </w:tc>
      </w:tr>
      <w:tr>
        <w:tc>
          <w:tcPr>
            <w:tcW w:type="dxa" w:w="4320"/>
            <w:noWrap/>
          </w:tcPr>
          <w:p>
            <w:r>
              <w:t>Consumo diurno efectivo (m³)</w:t>
            </w:r>
          </w:p>
        </w:tc>
        <w:tc>
          <w:tcPr>
            <w:tcW w:type="dxa" w:w="4320"/>
            <w:noWrap/>
          </w:tcPr>
          <w:p>
            <w:r>
              <w:t>1.248,4</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140970"/>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140970"/>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UDD-Sala impulsión Honduras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4831"/>
            <wp:docPr id="6" name="Picture 6"/>
            <wp:cNvGraphicFramePr>
              <a:graphicFrameLocks noChangeAspect="1"/>
            </wp:cNvGraphicFramePr>
            <a:graphic>
              <a:graphicData uri="http://schemas.openxmlformats.org/drawingml/2006/picture">
                <pic:pic>
                  <pic:nvPicPr>
                    <pic:cNvPr id="0" name="chart_fugas_000026-01.png"/>
                    <pic:cNvPicPr/>
                  </pic:nvPicPr>
                  <pic:blipFill>
                    <a:blip r:embed="rId15"/>
                    <a:stretch>
                      <a:fillRect/>
                    </a:stretch>
                  </pic:blipFill>
                  <pic:spPr>
                    <a:xfrm>
                      <a:off x="0" y="0"/>
                      <a:ext cx="5486400" cy="1684831"/>
                    </a:xfrm>
                    <a:prstGeom prst="rect"/>
                  </pic:spPr>
                </pic:pic>
              </a:graphicData>
            </a:graphic>
          </wp:inline>
        </w:drawing>
      </w:r>
    </w:p>
    <w:p/>
    <w:p>
      <w:pPr>
        <w:keepNext/>
        <w:widowControl/>
        <w:spacing w:after="60"/>
      </w:pPr>
      <w:r>
        <w:rPr>
          <w:b/>
          <w:color w:val="003366"/>
        </w:rPr>
        <w:t>DÍA CON MAYOR CONSUMO NOCTURNO (05-02-26):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6-01.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2,01</w:t>
            </w:r>
          </w:p>
        </w:tc>
      </w:tr>
      <w:tr>
        <w:tc>
          <w:tcPr>
            <w:tcW w:type="dxa" w:w="4320"/>
            <w:noWrap/>
          </w:tcPr>
          <w:p>
            <w:r>
              <w:t>Proyección día filtración (m³/día)</w:t>
            </w:r>
          </w:p>
        </w:tc>
        <w:tc>
          <w:tcPr>
            <w:tcW w:type="dxa" w:w="4320"/>
            <w:noWrap/>
          </w:tcPr>
          <w:p>
            <w:r>
              <w:t>48,2</w:t>
            </w:r>
          </w:p>
        </w:tc>
      </w:tr>
      <w:tr>
        <w:tc>
          <w:tcPr>
            <w:tcW w:type="dxa" w:w="4320"/>
            <w:noWrap/>
          </w:tcPr>
          <w:p>
            <w:r>
              <w:t>Proyección filtración del periodo (m³)</w:t>
            </w:r>
          </w:p>
        </w:tc>
        <w:tc>
          <w:tcPr>
            <w:tcW w:type="dxa" w:w="4320"/>
            <w:noWrap/>
          </w:tcPr>
          <w:p>
            <w:r>
              <w:t>1.350,7</w:t>
            </w:r>
          </w:p>
        </w:tc>
      </w:tr>
      <w:tr>
        <w:tc>
          <w:tcPr>
            <w:tcW w:type="dxa" w:w="4320"/>
            <w:noWrap/>
          </w:tcPr>
          <w:p>
            <w:r>
              <w:t>Consumo efectivo del periodo (m³)</w:t>
            </w:r>
          </w:p>
        </w:tc>
        <w:tc>
          <w:tcPr>
            <w:tcW w:type="dxa" w:w="4320"/>
            <w:noWrap/>
          </w:tcPr>
          <w:p>
            <w:r>
              <w:t>233,1</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