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keepNext w:val="0"/>
        <w:spacing w:after="120"/>
        <w:jc w:val="center"/>
      </w:pPr>
      <w:r>
        <w:drawing>
          <wp:inline xmlns:a="http://schemas.openxmlformats.org/drawingml/2006/main" xmlns:pic="http://schemas.openxmlformats.org/drawingml/2006/picture">
            <wp:extent cx="5852160" cy="5852160"/>
            <wp:docPr id="1" name="Picture 1"/>
            <wp:cNvGraphicFramePr>
              <a:graphicFrameLocks noChangeAspect="1"/>
            </wp:cNvGraphicFramePr>
            <a:graphic>
              <a:graphicData uri="http://schemas.openxmlformats.org/drawingml/2006/picture">
                <pic:pic>
                  <pic:nvPicPr>
                    <pic:cNvPr id="0" name="image14.png"/>
                    <pic:cNvPicPr/>
                  </pic:nvPicPr>
                  <pic:blipFill>
                    <a:blip r:embed="rId9"/>
                    <a:stretch>
                      <a:fillRect/>
                    </a:stretch>
                  </pic:blipFill>
                  <pic:spPr>
                    <a:xfrm>
                      <a:off x="0" y="0"/>
                      <a:ext cx="5852160" cy="5852160"/>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852160" cy="202788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852160" cy="2027885"/>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852160" cy="5754079"/>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852160" cy="5754079"/>
                    </a:xfrm>
                    <a:prstGeom prst="rect"/>
                  </pic:spPr>
                </pic:pic>
              </a:graphicData>
            </a:graphic>
          </wp:inline>
        </w:drawing>
      </w:r>
    </w:p>
    <w:p/>
    <w:p/>
    <w:p>
      <w:pPr>
        <w:pStyle w:val="Title"/>
      </w:pPr>
      <w:r>
        <w:rPr>
          <w:color w:val="003366"/>
        </w:rPr>
        <w:t>Índice</w:t>
      </w:r>
    </w:p>
    <w:p>
      <w:r>
        <w:t>Metodología        .......................................... 1</w:t>
      </w:r>
    </w:p>
    <w:p>
      <w:r>
        <w:t>Resultados y Conclusiones    ............................ 2</w:t>
      </w:r>
    </w:p>
    <w:p>
      <w:r>
        <w:t>Registros de consumos      .............................. 3</w:t>
      </w:r>
    </w:p>
    <w:p>
      <w:r>
        <w:t>Anexos          ................................................ 4</w:t>
      </w:r>
    </w:p>
    <w:p>
      <w:r>
        <w:br w:type="page"/>
      </w:r>
    </w:p>
    <w:p>
      <w:pPr>
        <w:pStyle w:val="Title"/>
      </w:pPr>
      <w:r>
        <w:rPr>
          <w:color w:val="003366"/>
        </w:rPr>
        <w:t>Metodología</w:t>
      </w:r>
    </w:p>
    <w:p>
      <w:pPr>
        <w:jc w:val="both"/>
      </w:pPr>
      <w:r>
        <w:rPr>
          <w:color w:val="000000"/>
          <w:sz w:val="22"/>
        </w:rPr>
        <w:t>Se generaron 2 auditorías hídricas en base a las cuales se obtuvo una comprobación empírica del efecto de ahorro generado por el funcionamiento del servicio WES “Control Inteligente de Agua Potable” en las redes hídricas del establecimiento educacional que cuentan con la tecnología de control WES.</w:t>
      </w:r>
    </w:p>
    <w:p>
      <w:pPr>
        <w:jc w:val="both"/>
      </w:pPr>
      <w:r>
        <w:rPr>
          <w:color w:val="000000"/>
          <w:sz w:val="22"/>
        </w:rPr>
        <w:t>Para ello se establecieron 2 periodos de tiempo que contemplan 2 ó más días. En el primer periodo, la funcionalidad de control WES estuvo desactivada. A su vez, en el segundo periodo, el sistema WES estuvo operando CON función de control.</w:t>
      </w:r>
    </w:p>
    <w:p>
      <w:pPr>
        <w:jc w:val="both"/>
      </w:pPr>
      <w:r>
        <w:rPr>
          <w:color w:val="000000"/>
          <w:sz w:val="22"/>
        </w:rPr>
        <w:t>Así, se generan 2 'muestras' comparables, que permiten dimensionar la diferencia en el consumo diario generado por el servicio WES.</w:t>
      </w:r>
    </w:p>
    <w:p>
      <w:pPr>
        <w:jc w:val="both"/>
      </w:pPr>
      <w:r>
        <w:rPr>
          <w:color w:val="000000"/>
          <w:sz w:val="22"/>
        </w:rPr>
        <w:t>Para el Colegio ICCO Renca, punto de medición WES 000017-04 (ICCO Renca (Esc. Lo Velásquez-Renca)), las mediciones utilizan datos horarios de la plataforma en zona horaria Chile, para los días hábiles comprendidos entre el lunes 30 de marzo y el miércoles 1 de abril de 2026 (periodo de referencia / línea base) y entre el lunes 6 y el miércoles 8 de abril de 2026 (periodo de auditoría comparativa), en ventana diaria 08:00 a 15:00 (hora de término exclusiva). Si una hora no tiene dato, se asume 0 m³/h para mantener una grilla comparable (21 intervalos: 3 días × 7 horas).</w:t>
      </w:r>
    </w:p>
    <w:p/>
    <w:p>
      <w:pPr>
        <w:jc w:val="both"/>
      </w:pPr>
      <w:r>
        <w:rPr>
          <w:color w:val="000000"/>
          <w:sz w:val="22"/>
        </w:rPr>
        <w:t>Resultados esperados:</w:t>
      </w:r>
    </w:p>
    <w:p>
      <w:pPr>
        <w:jc w:val="both"/>
      </w:pPr>
      <w:r>
        <w:rPr>
          <w:color w:val="000000"/>
          <w:sz w:val="22"/>
        </w:rPr>
        <w:t>Determinar línea de base actualizada para la estimación de eficiencia.</w:t>
      </w:r>
    </w:p>
    <w:p>
      <w:pPr>
        <w:jc w:val="both"/>
      </w:pPr>
      <w:r>
        <w:rPr>
          <w:color w:val="000000"/>
          <w:sz w:val="22"/>
        </w:rPr>
        <w:t>Proyectar resultados actualizados en cuanto al ahorro de agua (m³) y de dinero (CLP $).</w:t>
      </w:r>
    </w:p>
    <w:p>
      <w:r>
        <w:br w:type="page"/>
      </w:r>
    </w:p>
    <w:p>
      <w:pPr>
        <w:pStyle w:val="Title"/>
      </w:pPr>
      <w:r>
        <w:rPr>
          <w:color w:val="003366"/>
        </w:rPr>
        <w:t>Resultados y Conclusiones</w:t>
      </w:r>
    </w:p>
    <w:p>
      <w:pPr>
        <w:jc w:val="both"/>
      </w:pPr>
      <w:r>
        <w:rPr>
          <w:color w:val="000000"/>
          <w:sz w:val="22"/>
        </w:rPr>
        <w:t>En la ventana analizada (3 días por periodo, horario 08:00–15:00 Chile), el consumo acumulado del periodo de referencia fue de 13,71 m³ y el del periodo de comparación de 15,2 m³.</w:t>
      </w:r>
    </w:p>
    <w:p>
      <w:pPr>
        <w:jc w:val="both"/>
      </w:pPr>
      <w:r>
        <w:rPr>
          <w:color w:val="000000"/>
          <w:sz w:val="22"/>
        </w:rPr>
        <w:t>La diferencia (referencia menos comparación) equivale a un ahorro promedio de -0,497 m³ por día en el tramo considerado. La eficiencia respecto de la línea base de referencia es del -10,87 %.</w:t>
      </w:r>
    </w:p>
    <w:p>
      <w:pPr>
        <w:jc w:val="both"/>
      </w:pPr>
      <w:r>
        <w:rPr>
          <w:color w:val="000000"/>
          <w:sz w:val="22"/>
        </w:rPr>
        <w:t>A título orientativo y con tarifa de referencia de 1.200 CLP/m³, la diferencia de volumen entre periodos representa del orden de 1.788 CLP (valor absoluto del volumen diferencial × tarifa; no constituye facturación).</w:t>
      </w:r>
    </w:p>
    <w:p/>
    <w:p>
      <w:r>
        <w:rPr>
          <w:sz w:val="22"/>
        </w:rPr>
        <w:t xml:space="preserve">     Ahorro: -0,5 m³/día </w:t>
      </w:r>
    </w:p>
    <w:p/>
    <w:p>
      <w:r>
        <w:rPr>
          <w:sz w:val="22"/>
        </w:rPr>
        <w:t xml:space="preserve">          Eficiencia: -10,87 %</w:t>
      </w:r>
    </w:p>
    <w:p>
      <w:r>
        <w:br w:type="page"/>
      </w:r>
    </w:p>
    <w:p>
      <w:pPr>
        <w:pStyle w:val="Title"/>
      </w:pPr>
      <w:r>
        <w:rPr>
          <w:color w:val="003366"/>
        </w:rPr>
        <w:t>Registros de consumos.</w:t>
        <w:br/>
        <w:t>Colegio ICCO Renca</w:t>
      </w:r>
    </w:p>
    <w:p>
      <w:pPr>
        <w:pStyle w:val="Title"/>
      </w:pPr>
      <w:r>
        <w:rPr>
          <w:color w:val="003366"/>
        </w:rPr>
        <w:t>Registro de Lecturas Nº1 (SIN control)</w:t>
      </w:r>
    </w:p>
    <w:p>
      <w:pPr>
        <w:jc w:val="both"/>
      </w:pPr>
      <w:r>
        <w:rPr>
          <w:color w:val="000000"/>
          <w:sz w:val="22"/>
        </w:rPr>
        <w:t>Periodo de referencia: 30-03-2026 al 01-04-2026 (ventana horaria indicada en Metodología).</w:t>
      </w:r>
    </w:p>
    <w:p/>
    <w:p/>
    <w:p>
      <w:pPr>
        <w:pStyle w:val="Title"/>
      </w:pPr>
      <w:r>
        <w:rPr>
          <w:color w:val="003366"/>
        </w:rPr>
        <w:t>Registro de Lecturas semana Nº2 (CON control)</w:t>
      </w:r>
    </w:p>
    <w:p>
      <w:pPr>
        <w:jc w:val="both"/>
      </w:pPr>
      <w:r>
        <w:rPr>
          <w:color w:val="000000"/>
          <w:sz w:val="22"/>
        </w:rPr>
        <w:t>Periodo de auditoría comparativa: 06-04-2026 al 08-04-2026 (misma ventana horaria).</w:t>
      </w:r>
    </w:p>
    <w:p/>
    <w:p/>
    <w:p>
      <w:pPr>
        <w:jc w:val="both"/>
      </w:pPr>
      <w:r>
        <w:rPr>
          <w:color w:val="000000"/>
          <w:sz w:val="22"/>
        </w:rPr>
        <w:t>Registros gráficos (mismo formato de informe de referencia WES Renca):</w:t>
      </w:r>
    </w:p>
    <w:p>
      <w:pPr>
        <w:keepNext w:val="0"/>
        <w:spacing w:after="120"/>
        <w:jc w:val="center"/>
      </w:pPr>
      <w:r>
        <w:drawing>
          <wp:inline xmlns:a="http://schemas.openxmlformats.org/drawingml/2006/main" xmlns:pic="http://schemas.openxmlformats.org/drawingml/2006/picture">
            <wp:extent cx="5669280" cy="3796857"/>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69280" cy="3796857"/>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5" name="Picture 5"/>
            <wp:cNvGraphicFramePr>
              <a:graphicFrameLocks noChangeAspect="1"/>
            </wp:cNvGraphicFramePr>
            <a:graphic>
              <a:graphicData uri="http://schemas.openxmlformats.org/drawingml/2006/picture">
                <pic:pic>
                  <pic:nvPicPr>
                    <pic:cNvPr id="0" name="image9.png"/>
                    <pic:cNvPicPr/>
                  </pic:nvPicPr>
                  <pic:blipFill>
                    <a:blip r:embed="rId13"/>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6" name="Picture 6"/>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7" name="Picture 7"/>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8" name="Picture 8"/>
            <wp:cNvGraphicFramePr>
              <a:graphicFrameLocks noChangeAspect="1"/>
            </wp:cNvGraphicFramePr>
            <a:graphic>
              <a:graphicData uri="http://schemas.openxmlformats.org/drawingml/2006/picture">
                <pic:pic>
                  <pic:nvPicPr>
                    <pic:cNvPr id="0" name="image1.png"/>
                    <pic:cNvPicPr/>
                  </pic:nvPicPr>
                  <pic:blipFill>
                    <a:blip r:embed="rId16"/>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9" name="Picture 9"/>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10" name="Picture 10"/>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2530854"/>
            <wp:docPr id="11" name="Picture 11"/>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5669280" cy="2530854"/>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4251960"/>
            <wp:docPr id="12" name="Picture 12"/>
            <wp:cNvGraphicFramePr>
              <a:graphicFrameLocks noChangeAspect="1"/>
            </wp:cNvGraphicFramePr>
            <a:graphic>
              <a:graphicData uri="http://schemas.openxmlformats.org/drawingml/2006/picture">
                <pic:pic>
                  <pic:nvPicPr>
                    <pic:cNvPr id="0" name="image12.jpg"/>
                    <pic:cNvPicPr/>
                  </pic:nvPicPr>
                  <pic:blipFill>
                    <a:blip r:embed="rId20"/>
                    <a:stretch>
                      <a:fillRect/>
                    </a:stretch>
                  </pic:blipFill>
                  <pic:spPr>
                    <a:xfrm>
                      <a:off x="0" y="0"/>
                      <a:ext cx="5669280" cy="4251960"/>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4251960"/>
            <wp:docPr id="13" name="Picture 13"/>
            <wp:cNvGraphicFramePr>
              <a:graphicFrameLocks noChangeAspect="1"/>
            </wp:cNvGraphicFramePr>
            <a:graphic>
              <a:graphicData uri="http://schemas.openxmlformats.org/drawingml/2006/picture">
                <pic:pic>
                  <pic:nvPicPr>
                    <pic:cNvPr id="0" name="image12.jpg"/>
                    <pic:cNvPicPr/>
                  </pic:nvPicPr>
                  <pic:blipFill>
                    <a:blip r:embed="rId20"/>
                    <a:stretch>
                      <a:fillRect/>
                    </a:stretch>
                  </pic:blipFill>
                  <pic:spPr>
                    <a:xfrm>
                      <a:off x="0" y="0"/>
                      <a:ext cx="5669280" cy="4251960"/>
                    </a:xfrm>
                    <a:prstGeom prst="rect"/>
                  </pic:spPr>
                </pic:pic>
              </a:graphicData>
            </a:graphic>
          </wp:inline>
        </w:drawing>
      </w:r>
    </w:p>
    <w:p>
      <w:pPr>
        <w:keepNext w:val="0"/>
        <w:spacing w:after="120"/>
        <w:jc w:val="center"/>
      </w:pPr>
      <w:r>
        <w:drawing>
          <wp:inline xmlns:a="http://schemas.openxmlformats.org/drawingml/2006/main" xmlns:pic="http://schemas.openxmlformats.org/drawingml/2006/picture">
            <wp:extent cx="5669280" cy="10078720"/>
            <wp:docPr id="14" name="Picture 14"/>
            <wp:cNvGraphicFramePr>
              <a:graphicFrameLocks noChangeAspect="1"/>
            </wp:cNvGraphicFramePr>
            <a:graphic>
              <a:graphicData uri="http://schemas.openxmlformats.org/drawingml/2006/picture">
                <pic:pic>
                  <pic:nvPicPr>
                    <pic:cNvPr id="0" name="image7.jpg"/>
                    <pic:cNvPicPr/>
                  </pic:nvPicPr>
                  <pic:blipFill>
                    <a:blip r:embed="rId21"/>
                    <a:stretch>
                      <a:fillRect/>
                    </a:stretch>
                  </pic:blipFill>
                  <pic:spPr>
                    <a:xfrm>
                      <a:off x="0" y="0"/>
                      <a:ext cx="5669280" cy="10078720"/>
                    </a:xfrm>
                    <a:prstGeom prst="rect"/>
                  </pic:spPr>
                </pic:pic>
              </a:graphicData>
            </a:graphic>
          </wp:inline>
        </w:drawing>
      </w:r>
    </w:p>
    <w:p/>
    <w:p>
      <w:pPr>
        <w:jc w:val="both"/>
      </w:pPr>
      <w:r>
        <w:rPr>
          <w:color w:val="000000"/>
          <w:sz w:val="22"/>
        </w:rPr>
        <w:t>Comparativo horario Colegio ICCO Renca — datos API WES (periodos abril 2026, misma grilla horaria):</w:t>
      </w:r>
    </w:p>
    <w:p>
      <w:pPr>
        <w:keepNext/>
        <w:widowControl/>
        <w:spacing w:after="60"/>
        <w:jc w:val="center"/>
      </w:pPr>
      <w:r>
        <w:drawing>
          <wp:inline xmlns:a="http://schemas.openxmlformats.org/drawingml/2006/main" xmlns:pic="http://schemas.openxmlformats.org/drawingml/2006/picture">
            <wp:extent cx="5669280" cy="2393938"/>
            <wp:docPr id="15" name="Picture 15"/>
            <wp:cNvGraphicFramePr>
              <a:graphicFrameLocks noChangeAspect="1"/>
            </wp:cNvGraphicFramePr>
            <a:graphic>
              <a:graphicData uri="http://schemas.openxmlformats.org/drawingml/2006/picture">
                <pic:pic>
                  <pic:nvPicPr>
                    <pic:cNvPr id="0" name="cpa_icco_renca_20260408_1556.png"/>
                    <pic:cNvPicPr/>
                  </pic:nvPicPr>
                  <pic:blipFill>
                    <a:blip r:embed="rId22"/>
                    <a:stretch>
                      <a:fillRect/>
                    </a:stretch>
                  </pic:blipFill>
                  <pic:spPr>
                    <a:xfrm>
                      <a:off x="0" y="0"/>
                      <a:ext cx="5669280" cy="2393938"/>
                    </a:xfrm>
                    <a:prstGeom prst="rect"/>
                  </pic:spPr>
                </pic:pic>
              </a:graphicData>
            </a:graphic>
          </wp:inline>
        </w:drawing>
      </w:r>
    </w:p>
    <w:p>
      <w:r>
        <w:br w:type="page"/>
      </w:r>
    </w:p>
    <w:p>
      <w:pPr>
        <w:pStyle w:val="Title"/>
      </w:pPr>
      <w:r>
        <w:rPr>
          <w:color w:val="003366"/>
        </w:rPr>
        <w:t>Anexo I</w:t>
      </w:r>
    </w:p>
    <w:p>
      <w:pPr>
        <w:jc w:val="both"/>
      </w:pPr>
      <w:r>
        <w:rPr>
          <w:color w:val="000000"/>
          <w:sz w:val="22"/>
        </w:rPr>
        <w:t>Registro fotográfico de medidor</w:t>
      </w:r>
    </w:p>
    <w:p>
      <w:pPr>
        <w:jc w:val="both"/>
      </w:pPr>
      <w:r>
        <w:rPr>
          <w:color w:val="000000"/>
          <w:sz w:val="22"/>
        </w:rPr>
        <w:t>Colegio ICCO Renca — espacio reservado para insertar fotografías del medidor y registro de lecturas en terreno, según protocolo de la auditoría.</w:t>
      </w:r>
    </w:p>
    <w:p/>
    <w:p>
      <w:pPr>
        <w:jc w:val="both"/>
      </w:pPr>
      <w:r>
        <w:rPr>
          <w:color w:val="000000"/>
          <w:sz w:val="22"/>
        </w:rPr>
        <w:t>Archivo de datos horarios (exportación automática): cpa_icco_renca_20260408_1556.csv</w:t>
      </w:r>
    </w:p>
    <w:p/>
    <w:p>
      <w:pPr>
        <w:jc w:val="center"/>
      </w:pPr>
      <w:r>
        <w:rPr>
          <w:color w:val="646464"/>
          <w:sz w:val="18"/>
        </w:rPr>
        <w:t>Documento generado automáticamente — 08-04-2026 19:56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