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Comparación mensual entre nodos</w:t>
      </w:r>
    </w:p>
    <w:p>
      <w:r>
        <w:t>Nodo A: Sala de Bomba Estanque Sur (000025-19)</w:t>
      </w:r>
    </w:p>
    <w:p>
      <w:r>
        <w:t>Nodo B: Abastecimiento Sur Terminal (000025-02)</w:t>
      </w:r>
    </w:p>
    <w:p>
      <w:r>
        <w:t>Periodo: Abril 2025 — Abril 2026</w:t>
      </w:r>
    </w:p>
    <w:p>
      <w:r>
        <w:t>Consumo mensual = suma de totalM3 diarios (API WES). La diferencia indica cuántos m³ consume más el nodo B (000025-02) que el nodo A (000025-19) en cada mes.</w:t>
      </w:r>
    </w:p>
    <w:p/>
    <w:p>
      <w:r>
        <w:drawing>
          <wp:inline xmlns:a="http://schemas.openxmlformats.org/drawingml/2006/main" xmlns:pic="http://schemas.openxmlformats.org/drawingml/2006/picture">
            <wp:extent cx="5852160" cy="24759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mensual_000025-19_vs_000025-02_202504_202604_20260526_16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75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comparativa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</w:t>
            </w:r>
          </w:p>
        </w:tc>
        <w:tc>
          <w:tcPr>
            <w:tcW w:type="dxa" w:w="1728"/>
          </w:tcPr>
          <w:p>
            <w:r>
              <w:t>Sala de Bomba Estanque Sur</w:t>
              <w:br/>
              <w:t>(m³)</w:t>
            </w:r>
          </w:p>
        </w:tc>
        <w:tc>
          <w:tcPr>
            <w:tcW w:type="dxa" w:w="1728"/>
          </w:tcPr>
          <w:p>
            <w:r>
              <w:t>Abastecimiento Sur Terminal</w:t>
              <w:br/>
              <w:t>(m³)</w:t>
            </w:r>
          </w:p>
        </w:tc>
        <w:tc>
          <w:tcPr>
            <w:tcW w:type="dxa" w:w="1728"/>
          </w:tcPr>
          <w:p>
            <w:r>
              <w:t>Δ m³</w:t>
              <w:br/>
              <w:t>(B − A)</w:t>
            </w:r>
          </w:p>
        </w:tc>
        <w:tc>
          <w:tcPr>
            <w:tcW w:type="dxa" w:w="1728"/>
          </w:tcPr>
          <w:p>
            <w:r>
              <w:t>Δ %</w:t>
            </w:r>
          </w:p>
        </w:tc>
      </w:tr>
      <w:tr>
        <w:tc>
          <w:tcPr>
            <w:tcW w:type="dxa" w:w="1728"/>
          </w:tcPr>
          <w:p>
            <w:r>
              <w:t>Abril 2025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4.171,9</w:t>
            </w:r>
          </w:p>
        </w:tc>
        <w:tc>
          <w:tcPr>
            <w:tcW w:type="dxa" w:w="1728"/>
          </w:tcPr>
          <w:p>
            <w:r>
              <w:t>4.171,9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Mayo 2025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4.073,5</w:t>
            </w:r>
          </w:p>
        </w:tc>
        <w:tc>
          <w:tcPr>
            <w:tcW w:type="dxa" w:w="1728"/>
          </w:tcPr>
          <w:p>
            <w:r>
              <w:t>4.073,5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Junio 2025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3.819</w:t>
            </w:r>
          </w:p>
        </w:tc>
        <w:tc>
          <w:tcPr>
            <w:tcW w:type="dxa" w:w="1728"/>
          </w:tcPr>
          <w:p>
            <w:r>
              <w:t>3.819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Julio 2025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3.715,2</w:t>
            </w:r>
          </w:p>
        </w:tc>
        <w:tc>
          <w:tcPr>
            <w:tcW w:type="dxa" w:w="1728"/>
          </w:tcPr>
          <w:p>
            <w:r>
              <w:t>3.715,2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Agosto 2025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3.518,2</w:t>
            </w:r>
          </w:p>
        </w:tc>
        <w:tc>
          <w:tcPr>
            <w:tcW w:type="dxa" w:w="1728"/>
          </w:tcPr>
          <w:p>
            <w:r>
              <w:t>3.518,2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Septiembre 2025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3.882,5</w:t>
            </w:r>
          </w:p>
        </w:tc>
        <w:tc>
          <w:tcPr>
            <w:tcW w:type="dxa" w:w="1728"/>
          </w:tcPr>
          <w:p>
            <w:r>
              <w:t>3.882,5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Octubre 2025</w:t>
            </w:r>
          </w:p>
        </w:tc>
        <w:tc>
          <w:tcPr>
            <w:tcW w:type="dxa" w:w="1728"/>
          </w:tcPr>
          <w:p>
            <w:r>
              <w:t>1,6</w:t>
            </w:r>
          </w:p>
        </w:tc>
        <w:tc>
          <w:tcPr>
            <w:tcW w:type="dxa" w:w="1728"/>
          </w:tcPr>
          <w:p>
            <w:r>
              <w:t>2.027,2</w:t>
            </w:r>
          </w:p>
        </w:tc>
        <w:tc>
          <w:tcPr>
            <w:tcW w:type="dxa" w:w="1728"/>
          </w:tcPr>
          <w:p>
            <w:r>
              <w:t>2.025,6</w:t>
            </w:r>
          </w:p>
        </w:tc>
        <w:tc>
          <w:tcPr>
            <w:tcW w:type="dxa" w:w="1728"/>
          </w:tcPr>
          <w:p>
            <w:r>
              <w:t>125036.4%</w:t>
            </w:r>
          </w:p>
        </w:tc>
      </w:tr>
      <w:tr>
        <w:tc>
          <w:tcPr>
            <w:tcW w:type="dxa" w:w="1728"/>
          </w:tcPr>
          <w:p>
            <w:r>
              <w:t>Noviembre 2025</w:t>
            </w:r>
          </w:p>
        </w:tc>
        <w:tc>
          <w:tcPr>
            <w:tcW w:type="dxa" w:w="1728"/>
          </w:tcPr>
          <w:p>
            <w:r>
              <w:t>4.487,7</w:t>
            </w:r>
          </w:p>
        </w:tc>
        <w:tc>
          <w:tcPr>
            <w:tcW w:type="dxa" w:w="1728"/>
          </w:tcPr>
          <w:p>
            <w:r>
              <w:t>2.720,5</w:t>
            </w:r>
          </w:p>
        </w:tc>
        <w:tc>
          <w:tcPr>
            <w:tcW w:type="dxa" w:w="1728"/>
          </w:tcPr>
          <w:p>
            <w:r>
              <w:t>-1.767,2</w:t>
            </w:r>
          </w:p>
        </w:tc>
        <w:tc>
          <w:tcPr>
            <w:tcW w:type="dxa" w:w="1728"/>
          </w:tcPr>
          <w:p>
            <w:r>
              <w:t>-39.4%</w:t>
            </w:r>
          </w:p>
        </w:tc>
      </w:tr>
      <w:tr>
        <w:tc>
          <w:tcPr>
            <w:tcW w:type="dxa" w:w="1728"/>
          </w:tcPr>
          <w:p>
            <w:r>
              <w:t>Diciembre 2025</w:t>
            </w:r>
          </w:p>
        </w:tc>
        <w:tc>
          <w:tcPr>
            <w:tcW w:type="dxa" w:w="1728"/>
          </w:tcPr>
          <w:p>
            <w:r>
              <w:t>9.198,4</w:t>
            </w:r>
          </w:p>
        </w:tc>
        <w:tc>
          <w:tcPr>
            <w:tcW w:type="dxa" w:w="1728"/>
          </w:tcPr>
          <w:p>
            <w:r>
              <w:t>5.324</w:t>
            </w:r>
          </w:p>
        </w:tc>
        <w:tc>
          <w:tcPr>
            <w:tcW w:type="dxa" w:w="1728"/>
          </w:tcPr>
          <w:p>
            <w:r>
              <w:t>-3.874,4</w:t>
            </w:r>
          </w:p>
        </w:tc>
        <w:tc>
          <w:tcPr>
            <w:tcW w:type="dxa" w:w="1728"/>
          </w:tcPr>
          <w:p>
            <w:r>
              <w:t>-42.1%</w:t>
            </w:r>
          </w:p>
        </w:tc>
      </w:tr>
      <w:tr>
        <w:tc>
          <w:tcPr>
            <w:tcW w:type="dxa" w:w="1728"/>
          </w:tcPr>
          <w:p>
            <w:r>
              <w:t>Enero 2026</w:t>
            </w:r>
          </w:p>
        </w:tc>
        <w:tc>
          <w:tcPr>
            <w:tcW w:type="dxa" w:w="1728"/>
          </w:tcPr>
          <w:p>
            <w:r>
              <w:t>8.851,5</w:t>
            </w:r>
          </w:p>
        </w:tc>
        <w:tc>
          <w:tcPr>
            <w:tcW w:type="dxa" w:w="1728"/>
          </w:tcPr>
          <w:p>
            <w:r>
              <w:t>5.111,3</w:t>
            </w:r>
          </w:p>
        </w:tc>
        <w:tc>
          <w:tcPr>
            <w:tcW w:type="dxa" w:w="1728"/>
          </w:tcPr>
          <w:p>
            <w:r>
              <w:t>-3.740,2</w:t>
            </w:r>
          </w:p>
        </w:tc>
        <w:tc>
          <w:tcPr>
            <w:tcW w:type="dxa" w:w="1728"/>
          </w:tcPr>
          <w:p>
            <w:r>
              <w:t>-42.3%</w:t>
            </w:r>
          </w:p>
        </w:tc>
      </w:tr>
      <w:tr>
        <w:tc>
          <w:tcPr>
            <w:tcW w:type="dxa" w:w="1728"/>
          </w:tcPr>
          <w:p>
            <w:r>
              <w:t>Febrero 2026</w:t>
            </w:r>
          </w:p>
        </w:tc>
        <w:tc>
          <w:tcPr>
            <w:tcW w:type="dxa" w:w="1728"/>
          </w:tcPr>
          <w:p>
            <w:r>
              <w:t>6.280,7</w:t>
            </w:r>
          </w:p>
        </w:tc>
        <w:tc>
          <w:tcPr>
            <w:tcW w:type="dxa" w:w="1728"/>
          </w:tcPr>
          <w:p>
            <w:r>
              <w:t>4.582,5</w:t>
            </w:r>
          </w:p>
        </w:tc>
        <w:tc>
          <w:tcPr>
            <w:tcW w:type="dxa" w:w="1728"/>
          </w:tcPr>
          <w:p>
            <w:r>
              <w:t>-1.698,2</w:t>
            </w:r>
          </w:p>
        </w:tc>
        <w:tc>
          <w:tcPr>
            <w:tcW w:type="dxa" w:w="1728"/>
          </w:tcPr>
          <w:p>
            <w:r>
              <w:t>-27.0%</w:t>
            </w:r>
          </w:p>
        </w:tc>
      </w:tr>
      <w:tr>
        <w:tc>
          <w:tcPr>
            <w:tcW w:type="dxa" w:w="1728"/>
          </w:tcPr>
          <w:p>
            <w:r>
              <w:t>Marzo 2026</w:t>
            </w:r>
          </w:p>
        </w:tc>
        <w:tc>
          <w:tcPr>
            <w:tcW w:type="dxa" w:w="1728"/>
          </w:tcPr>
          <w:p>
            <w:r>
              <w:t>3.345,7</w:t>
            </w:r>
          </w:p>
        </w:tc>
        <w:tc>
          <w:tcPr>
            <w:tcW w:type="dxa" w:w="1728"/>
          </w:tcPr>
          <w:p>
            <w:r>
              <w:t>3.811,6</w:t>
            </w:r>
          </w:p>
        </w:tc>
        <w:tc>
          <w:tcPr>
            <w:tcW w:type="dxa" w:w="1728"/>
          </w:tcPr>
          <w:p>
            <w:r>
              <w:t>465,9</w:t>
            </w:r>
          </w:p>
        </w:tc>
        <w:tc>
          <w:tcPr>
            <w:tcW w:type="dxa" w:w="1728"/>
          </w:tcPr>
          <w:p>
            <w:r>
              <w:t>13.9%</w:t>
            </w:r>
          </w:p>
        </w:tc>
      </w:tr>
      <w:tr>
        <w:tc>
          <w:tcPr>
            <w:tcW w:type="dxa" w:w="1728"/>
          </w:tcPr>
          <w:p>
            <w:r>
              <w:t>Abril 2026</w:t>
            </w:r>
          </w:p>
        </w:tc>
        <w:tc>
          <w:tcPr>
            <w:tcW w:type="dxa" w:w="1728"/>
          </w:tcPr>
          <w:p>
            <w:r>
              <w:t>2.789,4</w:t>
            </w:r>
          </w:p>
        </w:tc>
        <w:tc>
          <w:tcPr>
            <w:tcW w:type="dxa" w:w="1728"/>
          </w:tcPr>
          <w:p>
            <w:r>
              <w:t>3.173,2</w:t>
            </w:r>
          </w:p>
        </w:tc>
        <w:tc>
          <w:tcPr>
            <w:tcW w:type="dxa" w:w="1728"/>
          </w:tcPr>
          <w:p>
            <w:r>
              <w:t>383,7</w:t>
            </w:r>
          </w:p>
        </w:tc>
        <w:tc>
          <w:tcPr>
            <w:tcW w:type="dxa" w:w="1728"/>
          </w:tcPr>
          <w:p>
            <w:r>
              <w:t>13.8%</w:t>
            </w:r>
          </w:p>
        </w:tc>
      </w:tr>
    </w:tbl>
    <w:p/>
    <w:p>
      <w:pPr>
        <w:pStyle w:val="Heading1"/>
      </w:pPr>
      <w:r>
        <w:t>Resumen del periodo</w:t>
      </w:r>
    </w:p>
    <w:p>
      <w:r>
        <w:t>Acumulado Sala de Bomba Estanque Sur: 34.955,1 m³. Acumulado Abastecimiento Sur Terminal: 49.930,6 m³. Diferencia total (B − A): 14.975,5 m³.</w:t>
      </w:r>
    </w:p>
    <w:p>
      <w:r>
        <w:t>El mes con mayor ventaja de Abastecimiento Sur Terminal fue Abril 2025 (+4.171,9 m³). El mes con mayor ventaja de Sala de Bomba Estanque Sur fue Diciembre 2025 (-3.874,4 m³).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