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788"/>
        </w:rPr>
        <w:t>Comparación cuentas de agua vs registro WES</w:t>
      </w:r>
    </w:p>
    <w:p/>
    <w:p>
      <w:r>
        <w:rPr>
          <w:b/>
        </w:rPr>
        <w:t xml:space="preserve">Cliente: </w:t>
      </w:r>
      <w:r>
        <w:t>1653854-K — Universidad del Desarrollo, Av. La Plaza 700, Las Condes</w:t>
      </w:r>
    </w:p>
    <w:p>
      <w:r>
        <w:rPr>
          <w:b/>
        </w:rPr>
        <w:t xml:space="preserve">Punto WES: </w:t>
      </w:r>
      <w:r>
        <w:t>000026-01 — UDD — Sala impulsión Honduras</w:t>
      </w:r>
    </w:p>
    <w:p>
      <w:r>
        <w:rPr>
          <w:b/>
        </w:rPr>
        <w:t xml:space="preserve">Fuente API: </w:t>
      </w:r>
      <w:r>
        <w:t>http://104.248.53.141:7003/wes/api/acl-node/v1</w:t>
      </w:r>
    </w:p>
    <w:p>
      <w:r>
        <w:rPr>
          <w:b/>
        </w:rPr>
        <w:t xml:space="preserve">Generado: </w:t>
      </w:r>
      <w:r>
        <w:t>29-04-2026 10:07</w:t>
      </w:r>
    </w:p>
    <w:p/>
    <w:p>
      <w:pPr>
        <w:pStyle w:val="Heading1"/>
      </w:pPr>
      <w:r>
        <w:t>1. Contexto y limitación de la comparación</w:t>
      </w:r>
    </w:p>
    <w:p>
      <w:r>
        <w:t>Los totales no deben cuadrar de forma exacta: el medidor que alimenta el estanque registra el volumen bruto de ingreso a ese embalse. Desde el estanque existen dos salidas: una alimenta el riego y la otra el uso de agua de la universidad (baños, duchas, casino, etc.). El punto WES (000026-01) monitorea un tramo de la red asociado a la «Sala impulsión Honduras» y no reproduce el 100 % del volumen facturado en el medidor de la cuenta, ni el reparto entre riego y uso interior.</w:t>
      </w:r>
    </w:p>
    <w:p>
      <w:pPr>
        <w:pStyle w:val="Heading1"/>
      </w:pPr>
      <w:r>
        <w:t>2. Resumen por período de boleta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Período (lecturas)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Emisión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N° boleta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Medidor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Consumo cuenta (m³)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Total WES (m³)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Días datos API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Diferencia (m³)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8"/>
              </w:rPr>
              <w:t>% volumen WES / cuenta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03-abr-2025 → 05-may-2025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12-may-2025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31584387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20.710.011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8.213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2.620,46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5.592,54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31,9 %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05-may-2025 → 04-jun-2025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10-jun-2025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31748845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20.710.011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6.621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2.689,12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3.931,88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40,6 %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04-jun-2025 → 05-jul-2025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10-jul-2025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31906349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20.710.011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5.034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2.354,44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2.679,56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46,8 %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05-jul-2025 → 06-ago-2025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11-ago-2025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32068764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20.710.011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4.745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1.636,96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3.108,04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34,5 %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06-ago-2025 → 04-sep-2025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10-sep-2025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32227236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120.710.011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5.211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2.448,78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2.762,22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47 %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04-sep-2025 → 03-oct-2025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10-oct-2025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32461146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120.710.011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5.897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2.057,71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3.839,29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34,9 %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03-oct-2025 → 04-nov-2025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11-nov-2025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32709178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120.710.011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7.732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3.840,49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3.891,51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49,7 %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04-nov-2025 → 05-dic-2025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11-dic-2025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32869189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120.710.011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9.364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2.946,26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6.417,74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31,5 %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05-dic-2025 → 06-ene-2026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12-jan-2026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33194523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120.710.011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8.319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2.306,29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6.012,71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27,7 %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06-ene-2026 → 06-feb-2026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10-feb-2026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33364353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2.025.759.723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8.258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2.530,13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5.727,87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30,6 %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06-feb-2026 → 10-mar-2026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11-mar-2026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33522229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2.025.759.723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8.593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2.375,12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6.217,88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27,6 %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10-mar-2026 → 07-abr-2026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11-abr-2026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33681505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2.025.759.723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9.626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3.362,44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6.263,56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18"/>
              </w:rPr>
              <w:t>34,9 %</w:t>
            </w:r>
          </w:p>
        </w:tc>
      </w:tr>
    </w:tbl>
    <w:p/>
    <w:p>
      <w:pPr>
        <w:pStyle w:val="Heading1"/>
      </w:pPr>
      <w:r>
        <w:t>3. Notas sobre medidores</w:t>
      </w:r>
    </w:p>
    <w:p>
      <w:r>
        <w:t>Entre febrero y marzo de 2026 la boleta registra medidor 2.025.759.723 (diámetro 50 mm en extracto). La boleta del 10-feb-2026 documenta el reemplazo del medidor anterior (120.710.011) e incluye el texto sobre consumo combinado medidor antiguo y nuevo.</w:t>
      </w:r>
    </w:p>
    <w:p/>
    <w:p>
      <w:pPr>
        <w:pStyle w:val="Heading1"/>
      </w:pPr>
      <w:r>
        <w:t>4. Metodología WES</w:t>
      </w:r>
    </w:p>
    <w:p>
      <w:r>
        <w:t>El total «Total WES» es la suma de los consumos diarios reportados por la API GET /nodes/measures/dates para el rango de fechas indicado (formato de fechas ddMMyyyy alineado a los extremos del período de lectura de cada boleta). Puede haber pequeñas diferencias de calendario (número de días) respecto del ciclo exacto de facturación.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